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97E" w:rsidRPr="006163A5" w:rsidRDefault="000C59AA" w:rsidP="0001297E">
      <w:pPr>
        <w:jc w:val="center"/>
        <w:rPr>
          <w:rFonts w:asciiTheme="majorHAnsi" w:hAnsiTheme="majorHAnsi"/>
          <w:sz w:val="56"/>
          <w:szCs w:val="56"/>
        </w:rPr>
      </w:pPr>
      <w:bookmarkStart w:id="0" w:name="_GoBack"/>
      <w:bookmarkEnd w:id="0"/>
      <w:r>
        <w:rPr>
          <w:rFonts w:asciiTheme="majorHAnsi" w:hAnsiTheme="majorHAnsi"/>
          <w:noProof/>
          <w:sz w:val="56"/>
          <w:szCs w:val="56"/>
          <w:lang w:eastAsia="en-AU"/>
        </w:rPr>
        <mc:AlternateContent>
          <mc:Choice Requires="wps">
            <w:drawing>
              <wp:anchor distT="0" distB="0" distL="114300" distR="114300" simplePos="0" relativeHeight="251660288" behindDoc="0" locked="0" layoutInCell="1" allowOverlap="1">
                <wp:simplePos x="0" y="0"/>
                <wp:positionH relativeFrom="page">
                  <wp:posOffset>306070</wp:posOffset>
                </wp:positionH>
                <wp:positionV relativeFrom="page">
                  <wp:posOffset>711835</wp:posOffset>
                </wp:positionV>
                <wp:extent cx="6942455" cy="136652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136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DA" w:rsidRPr="00E5742C" w:rsidRDefault="005809DA" w:rsidP="00EC78B2">
                            <w:pPr>
                              <w:pStyle w:val="Title"/>
                              <w:rPr>
                                <w:rFonts w:ascii="Arial" w:eastAsia="Helvetica Neue Bold" w:hAnsi="Arial" w:cs="Arial"/>
                                <w:b/>
                                <w:color w:val="FFFFFF" w:themeColor="background1"/>
                                <w:sz w:val="94"/>
                                <w:szCs w:val="94"/>
                                <w:lang w:val="en-GB"/>
                              </w:rPr>
                            </w:pPr>
                            <w:r w:rsidRPr="00E5742C">
                              <w:rPr>
                                <w:rFonts w:ascii="Arial" w:eastAsia="Helvetica Neue Bold" w:hAnsi="Arial" w:cs="Arial"/>
                                <w:b/>
                                <w:color w:val="FFFFFF" w:themeColor="background1"/>
                                <w:sz w:val="94"/>
                                <w:szCs w:val="94"/>
                                <w:lang w:val="en-GB"/>
                              </w:rPr>
                              <w:t>Privacy Policy</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1pt;margin-top:56.05pt;width:546.65pt;height:10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2oxtw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" filled="f" stroked="f">
                <v:textbox>
                  <w:txbxContent>
                    <w:p w:rsidR="005809DA" w:rsidRPr="00E5742C" w:rsidRDefault="005809DA" w:rsidP="00EC78B2">
                      <w:pPr>
                        <w:pStyle w:val="Title"/>
                        <w:rPr>
                          <w:rFonts w:ascii="Arial" w:eastAsia="Helvetica Neue Bold" w:hAnsi="Arial" w:cs="Arial"/>
                          <w:b/>
                          <w:color w:val="FFFFFF" w:themeColor="background1"/>
                          <w:sz w:val="94"/>
                          <w:szCs w:val="94"/>
                          <w:lang w:val="en-GB"/>
                        </w:rPr>
                      </w:pPr>
                      <w:r w:rsidRPr="00E5742C">
                        <w:rPr>
                          <w:rFonts w:ascii="Arial" w:eastAsia="Helvetica Neue Bold" w:hAnsi="Arial" w:cs="Arial"/>
                          <w:b/>
                          <w:color w:val="FFFFFF" w:themeColor="background1"/>
                          <w:sz w:val="94"/>
                          <w:szCs w:val="94"/>
                          <w:lang w:val="en-GB"/>
                        </w:rPr>
                        <w:t>Privacy Policy</w:t>
                      </w:r>
                    </w:p>
                  </w:txbxContent>
                </v:textbox>
                <w10:wrap anchorx="page" anchory="page"/>
              </v:shape>
            </w:pict>
          </mc:Fallback>
        </mc:AlternateContent>
      </w:r>
      <w:r w:rsidR="00EC78B2">
        <w:rPr>
          <w:rFonts w:asciiTheme="majorHAnsi" w:hAnsiTheme="majorHAnsi"/>
          <w:noProof/>
          <w:sz w:val="56"/>
          <w:szCs w:val="56"/>
          <w:lang w:eastAsia="en-AU"/>
        </w:rPr>
        <w:drawing>
          <wp:anchor distT="0" distB="0" distL="114300" distR="114300" simplePos="0" relativeHeight="251659264" behindDoc="1" locked="0" layoutInCell="0" allowOverlap="1">
            <wp:simplePos x="0" y="0"/>
            <wp:positionH relativeFrom="page">
              <wp:posOffset>-62837</wp:posOffset>
            </wp:positionH>
            <wp:positionV relativeFrom="page">
              <wp:posOffset>-13648</wp:posOffset>
            </wp:positionV>
            <wp:extent cx="7910300" cy="9990161"/>
            <wp:effectExtent l="19050" t="0" r="0" b="0"/>
            <wp:wrapNone/>
            <wp:docPr id="9" name="WordPictureWatermark850118470" descr="Report Cov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50118470" descr="Report Cover Blue"/>
                    <pic:cNvPicPr>
                      <a:picLocks noChangeAspect="1" noChangeArrowheads="1"/>
                    </pic:cNvPicPr>
                  </pic:nvPicPr>
                  <pic:blipFill>
                    <a:blip r:embed="rId8" cstate="print"/>
                    <a:srcRect/>
                    <a:stretch>
                      <a:fillRect/>
                    </a:stretch>
                  </pic:blipFill>
                  <pic:spPr bwMode="auto">
                    <a:xfrm>
                      <a:off x="0" y="0"/>
                      <a:ext cx="7920866" cy="10003505"/>
                    </a:xfrm>
                    <a:prstGeom prst="rect">
                      <a:avLst/>
                    </a:prstGeom>
                    <a:noFill/>
                  </pic:spPr>
                </pic:pic>
              </a:graphicData>
            </a:graphic>
          </wp:anchor>
        </w:drawing>
      </w:r>
    </w:p>
    <w:p w:rsidR="0001297E" w:rsidRDefault="000C59AA" w:rsidP="00F406A6">
      <w:r>
        <w:rPr>
          <w:rFonts w:asciiTheme="majorHAnsi" w:hAnsiTheme="majorHAnsi"/>
          <w:noProof/>
          <w:sz w:val="56"/>
          <w:szCs w:val="56"/>
          <w:lang w:eastAsia="en-AU"/>
        </w:rPr>
        <mc:AlternateContent>
          <mc:Choice Requires="wps">
            <w:drawing>
              <wp:anchor distT="0" distB="0" distL="114300" distR="114300" simplePos="0" relativeHeight="251661312" behindDoc="0" locked="0" layoutInCell="1" allowOverlap="1">
                <wp:simplePos x="0" y="0"/>
                <wp:positionH relativeFrom="page">
                  <wp:posOffset>587375</wp:posOffset>
                </wp:positionH>
                <wp:positionV relativeFrom="page">
                  <wp:posOffset>2325370</wp:posOffset>
                </wp:positionV>
                <wp:extent cx="4369435" cy="676910"/>
                <wp:effectExtent l="0" t="127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9DA" w:rsidRPr="004F77EF" w:rsidRDefault="00353F2D" w:rsidP="00EC78B2">
                            <w:pPr>
                              <w:pStyle w:val="CoverHeading"/>
                              <w:spacing w:line="216" w:lineRule="auto"/>
                              <w:rPr>
                                <w:rFonts w:ascii="Arial" w:hAnsi="Arial" w:cs="Arial"/>
                                <w:b w:val="0"/>
                                <w:bCs w:val="0"/>
                                <w:sz w:val="28"/>
                                <w:szCs w:val="28"/>
                              </w:rPr>
                            </w:pPr>
                            <w:r>
                              <w:rPr>
                                <w:rFonts w:ascii="Arial" w:hAnsi="Arial" w:cs="Arial"/>
                                <w:sz w:val="28"/>
                                <w:szCs w:val="28"/>
                              </w:rPr>
                              <w:t>2016 Version 1.2</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6.25pt;margin-top:183.1pt;width:344.05pt;height:5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VBuQIAAMA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" filled="f" stroked="f">
                <v:textbox>
                  <w:txbxContent>
                    <w:p w:rsidR="005809DA" w:rsidRPr="004F77EF" w:rsidRDefault="00353F2D" w:rsidP="00EC78B2">
                      <w:pPr>
                        <w:pStyle w:val="CoverHeading"/>
                        <w:spacing w:line="216" w:lineRule="auto"/>
                        <w:rPr>
                          <w:rFonts w:ascii="Arial" w:hAnsi="Arial" w:cs="Arial"/>
                          <w:b w:val="0"/>
                          <w:bCs w:val="0"/>
                          <w:sz w:val="28"/>
                          <w:szCs w:val="28"/>
                        </w:rPr>
                      </w:pPr>
                      <w:r>
                        <w:rPr>
                          <w:rFonts w:ascii="Arial" w:hAnsi="Arial" w:cs="Arial"/>
                          <w:sz w:val="28"/>
                          <w:szCs w:val="28"/>
                        </w:rPr>
                        <w:t>2016 Version 1.2</w:t>
                      </w:r>
                    </w:p>
                  </w:txbxContent>
                </v:textbox>
                <w10:wrap anchorx="page" anchory="page"/>
              </v:shape>
            </w:pict>
          </mc:Fallback>
        </mc:AlternateContent>
      </w:r>
      <w:r w:rsidR="0001297E">
        <w:br w:type="page"/>
      </w:r>
    </w:p>
    <w:p w:rsidR="00A47BDA" w:rsidRDefault="002C1729" w:rsidP="00EC78B2">
      <w:pPr>
        <w:spacing w:after="200"/>
        <w:rPr>
          <w:noProof/>
        </w:rPr>
      </w:pPr>
      <w:r w:rsidRPr="004713EB">
        <w:rPr>
          <w:rFonts w:ascii="Arial" w:hAnsi="Arial" w:cs="Arial"/>
          <w:b/>
          <w:sz w:val="28"/>
          <w:szCs w:val="28"/>
        </w:rPr>
        <w:lastRenderedPageBreak/>
        <w:t>Contents</w:t>
      </w:r>
      <w:r w:rsidR="003F25E6">
        <w:rPr>
          <w:rFonts w:cs="Arial"/>
          <w:szCs w:val="24"/>
        </w:rPr>
        <w:fldChar w:fldCharType="begin"/>
      </w:r>
      <w:r w:rsidR="003B5DF1">
        <w:rPr>
          <w:rFonts w:cs="Arial"/>
          <w:szCs w:val="24"/>
        </w:rPr>
        <w:instrText xml:space="preserve"> TOC \o "1-1" \t "Heading 2,2,Heading 3,3,Heading 4,4" </w:instrText>
      </w:r>
      <w:r w:rsidR="003F25E6">
        <w:rPr>
          <w:rFonts w:cs="Arial"/>
          <w:szCs w:val="24"/>
        </w:rPr>
        <w:fldChar w:fldCharType="separate"/>
      </w:r>
    </w:p>
    <w:p w:rsidR="00A47BDA" w:rsidRDefault="00A47BDA" w:rsidP="00552840">
      <w:pPr>
        <w:pStyle w:val="TOC1"/>
        <w:tabs>
          <w:tab w:val="left" w:pos="440"/>
          <w:tab w:val="right" w:leader="dot" w:pos="9939"/>
        </w:tabs>
        <w:rPr>
          <w:rFonts w:eastAsiaTheme="minorEastAsia"/>
          <w:b w:val="0"/>
          <w:noProof/>
          <w:sz w:val="22"/>
          <w:szCs w:val="22"/>
          <w:lang w:eastAsia="en-AU"/>
        </w:rPr>
      </w:pPr>
      <w:r>
        <w:rPr>
          <w:noProof/>
        </w:rPr>
        <w:t>1</w:t>
      </w:r>
      <w:r>
        <w:rPr>
          <w:rFonts w:eastAsiaTheme="minorEastAsia"/>
          <w:b w:val="0"/>
          <w:noProof/>
          <w:sz w:val="22"/>
          <w:szCs w:val="22"/>
          <w:lang w:eastAsia="en-AU"/>
        </w:rPr>
        <w:tab/>
      </w:r>
      <w:r w:rsidR="00312643">
        <w:rPr>
          <w:noProof/>
        </w:rPr>
        <w:t>Background</w:t>
      </w:r>
      <w:r>
        <w:rPr>
          <w:noProof/>
        </w:rPr>
        <w:tab/>
      </w:r>
      <w:r w:rsidR="00552840">
        <w:rPr>
          <w:noProof/>
        </w:rPr>
        <w:t>3</w:t>
      </w:r>
    </w:p>
    <w:p w:rsidR="00A47BDA" w:rsidRDefault="00A47BDA" w:rsidP="00552840">
      <w:pPr>
        <w:pStyle w:val="TOC1"/>
        <w:tabs>
          <w:tab w:val="left" w:pos="440"/>
          <w:tab w:val="right" w:leader="dot" w:pos="9939"/>
        </w:tabs>
        <w:rPr>
          <w:rFonts w:eastAsiaTheme="minorEastAsia"/>
          <w:b w:val="0"/>
          <w:noProof/>
          <w:sz w:val="22"/>
          <w:szCs w:val="22"/>
          <w:lang w:eastAsia="en-AU"/>
        </w:rPr>
      </w:pPr>
      <w:r>
        <w:rPr>
          <w:noProof/>
        </w:rPr>
        <w:t>2</w:t>
      </w:r>
      <w:r>
        <w:rPr>
          <w:rFonts w:eastAsiaTheme="minorEastAsia"/>
          <w:b w:val="0"/>
          <w:noProof/>
          <w:sz w:val="22"/>
          <w:szCs w:val="22"/>
          <w:lang w:eastAsia="en-AU"/>
        </w:rPr>
        <w:tab/>
      </w:r>
      <w:r w:rsidR="00312643">
        <w:rPr>
          <w:noProof/>
        </w:rPr>
        <w:t>Policy Statement</w:t>
      </w:r>
      <w:r>
        <w:rPr>
          <w:noProof/>
        </w:rPr>
        <w:tab/>
      </w:r>
      <w:r w:rsidR="00552840">
        <w:rPr>
          <w:noProof/>
        </w:rPr>
        <w:t>3</w:t>
      </w:r>
    </w:p>
    <w:p w:rsidR="00312643" w:rsidRPr="00312643" w:rsidRDefault="00A47BDA" w:rsidP="00312643">
      <w:pPr>
        <w:pStyle w:val="TOC1"/>
        <w:tabs>
          <w:tab w:val="left" w:pos="440"/>
          <w:tab w:val="right" w:leader="dot" w:pos="9939"/>
        </w:tabs>
        <w:rPr>
          <w:noProof/>
        </w:rPr>
      </w:pPr>
      <w:r>
        <w:rPr>
          <w:noProof/>
        </w:rPr>
        <w:t>3</w:t>
      </w:r>
      <w:r>
        <w:rPr>
          <w:rFonts w:eastAsiaTheme="minorEastAsia"/>
          <w:b w:val="0"/>
          <w:noProof/>
          <w:sz w:val="22"/>
          <w:szCs w:val="22"/>
          <w:lang w:eastAsia="en-AU"/>
        </w:rPr>
        <w:tab/>
      </w:r>
      <w:r w:rsidR="00312643">
        <w:rPr>
          <w:noProof/>
        </w:rPr>
        <w:t>Scope</w:t>
      </w:r>
      <w:r>
        <w:rPr>
          <w:noProof/>
        </w:rPr>
        <w:tab/>
      </w:r>
      <w:r w:rsidR="00552840">
        <w:rPr>
          <w:noProof/>
        </w:rPr>
        <w:t>3</w:t>
      </w:r>
    </w:p>
    <w:p w:rsidR="00A47BDA" w:rsidRDefault="00A47BDA" w:rsidP="00552840">
      <w:pPr>
        <w:pStyle w:val="TOC1"/>
        <w:tabs>
          <w:tab w:val="left" w:pos="440"/>
          <w:tab w:val="right" w:leader="dot" w:pos="9939"/>
        </w:tabs>
        <w:rPr>
          <w:rFonts w:eastAsiaTheme="minorEastAsia"/>
          <w:b w:val="0"/>
          <w:noProof/>
          <w:sz w:val="22"/>
          <w:szCs w:val="22"/>
          <w:lang w:eastAsia="en-AU"/>
        </w:rPr>
      </w:pPr>
      <w:r>
        <w:rPr>
          <w:noProof/>
        </w:rPr>
        <w:t>4</w:t>
      </w:r>
      <w:r>
        <w:rPr>
          <w:rFonts w:eastAsiaTheme="minorEastAsia"/>
          <w:b w:val="0"/>
          <w:noProof/>
          <w:sz w:val="22"/>
          <w:szCs w:val="22"/>
          <w:lang w:eastAsia="en-AU"/>
        </w:rPr>
        <w:tab/>
      </w:r>
      <w:r w:rsidR="00312643">
        <w:rPr>
          <w:noProof/>
        </w:rPr>
        <w:t>Definitions</w:t>
      </w:r>
      <w:r>
        <w:rPr>
          <w:noProof/>
        </w:rPr>
        <w:tab/>
      </w:r>
      <w:r w:rsidR="00312643">
        <w:rPr>
          <w:noProof/>
        </w:rPr>
        <w:t>3</w:t>
      </w:r>
    </w:p>
    <w:p w:rsidR="00A47BDA" w:rsidRDefault="00A47BDA" w:rsidP="00552840">
      <w:pPr>
        <w:pStyle w:val="TOC1"/>
        <w:tabs>
          <w:tab w:val="left" w:pos="440"/>
          <w:tab w:val="right" w:leader="dot" w:pos="9939"/>
        </w:tabs>
        <w:rPr>
          <w:rFonts w:eastAsiaTheme="minorEastAsia"/>
          <w:b w:val="0"/>
          <w:noProof/>
          <w:sz w:val="22"/>
          <w:szCs w:val="22"/>
          <w:lang w:eastAsia="en-AU"/>
        </w:rPr>
      </w:pPr>
      <w:r>
        <w:rPr>
          <w:noProof/>
        </w:rPr>
        <w:t>5</w:t>
      </w:r>
      <w:r>
        <w:rPr>
          <w:rFonts w:eastAsiaTheme="minorEastAsia"/>
          <w:b w:val="0"/>
          <w:noProof/>
          <w:sz w:val="22"/>
          <w:szCs w:val="22"/>
          <w:lang w:eastAsia="en-AU"/>
        </w:rPr>
        <w:tab/>
      </w:r>
      <w:r w:rsidR="008625DF">
        <w:rPr>
          <w:noProof/>
        </w:rPr>
        <w:t>Information Privacy and Health Privacy Principles</w:t>
      </w:r>
      <w:r>
        <w:rPr>
          <w:noProof/>
        </w:rPr>
        <w:tab/>
      </w:r>
      <w:r w:rsidR="003F25E6">
        <w:rPr>
          <w:noProof/>
        </w:rPr>
        <w:fldChar w:fldCharType="begin"/>
      </w:r>
      <w:r>
        <w:rPr>
          <w:noProof/>
        </w:rPr>
        <w:instrText xml:space="preserve"> PAGEREF _Toc442283952 \h </w:instrText>
      </w:r>
      <w:r w:rsidR="003F25E6">
        <w:rPr>
          <w:noProof/>
        </w:rPr>
      </w:r>
      <w:r w:rsidR="003F25E6">
        <w:rPr>
          <w:noProof/>
        </w:rPr>
        <w:fldChar w:fldCharType="separate"/>
      </w:r>
      <w:r w:rsidR="00312643">
        <w:rPr>
          <w:noProof/>
        </w:rPr>
        <w:t>4</w:t>
      </w:r>
      <w:r w:rsidR="003F25E6">
        <w:rPr>
          <w:noProof/>
        </w:rPr>
        <w:fldChar w:fldCharType="end"/>
      </w:r>
    </w:p>
    <w:p w:rsidR="00A47BDA" w:rsidRDefault="008625DF" w:rsidP="00723AF2">
      <w:pPr>
        <w:pStyle w:val="TOC1"/>
        <w:tabs>
          <w:tab w:val="left" w:pos="440"/>
          <w:tab w:val="right" w:leader="dot" w:pos="9939"/>
        </w:tabs>
        <w:ind w:left="426"/>
        <w:rPr>
          <w:rFonts w:eastAsiaTheme="minorEastAsia"/>
          <w:b w:val="0"/>
          <w:noProof/>
          <w:sz w:val="22"/>
          <w:szCs w:val="22"/>
          <w:lang w:eastAsia="en-AU"/>
        </w:rPr>
      </w:pPr>
      <w:r>
        <w:rPr>
          <w:noProof/>
        </w:rPr>
        <w:t>5.1</w:t>
      </w:r>
      <w:r w:rsidR="00763C77">
        <w:rPr>
          <w:rFonts w:eastAsiaTheme="minorEastAsia"/>
          <w:b w:val="0"/>
          <w:noProof/>
          <w:sz w:val="22"/>
          <w:szCs w:val="22"/>
          <w:lang w:eastAsia="en-AU"/>
        </w:rPr>
        <w:t xml:space="preserve">   </w:t>
      </w:r>
      <w:r>
        <w:rPr>
          <w:noProof/>
        </w:rPr>
        <w:t>Privacy Principle 1 - Collection of personal and health information</w:t>
      </w:r>
      <w:r w:rsidR="00A47BDA">
        <w:rPr>
          <w:noProof/>
        </w:rPr>
        <w:tab/>
      </w:r>
      <w:r>
        <w:rPr>
          <w:noProof/>
        </w:rPr>
        <w:t>4</w:t>
      </w:r>
    </w:p>
    <w:p w:rsidR="00A47BDA" w:rsidRDefault="008625DF" w:rsidP="00723AF2">
      <w:pPr>
        <w:pStyle w:val="TOC1"/>
        <w:tabs>
          <w:tab w:val="left" w:pos="440"/>
          <w:tab w:val="right" w:leader="dot" w:pos="9939"/>
        </w:tabs>
        <w:ind w:left="426"/>
        <w:rPr>
          <w:rFonts w:eastAsiaTheme="minorEastAsia"/>
          <w:b w:val="0"/>
          <w:noProof/>
          <w:sz w:val="22"/>
          <w:szCs w:val="22"/>
          <w:lang w:eastAsia="en-AU"/>
        </w:rPr>
      </w:pPr>
      <w:r>
        <w:rPr>
          <w:noProof/>
        </w:rPr>
        <w:t>5.2</w:t>
      </w:r>
      <w:r w:rsidR="00763C77">
        <w:rPr>
          <w:rFonts w:eastAsiaTheme="minorEastAsia"/>
          <w:b w:val="0"/>
          <w:noProof/>
          <w:sz w:val="22"/>
          <w:szCs w:val="22"/>
          <w:lang w:eastAsia="en-AU"/>
        </w:rPr>
        <w:t xml:space="preserve">   </w:t>
      </w:r>
      <w:r>
        <w:rPr>
          <w:noProof/>
        </w:rPr>
        <w:t>Privacy Principle 2 - Use and disclosure of information</w:t>
      </w:r>
      <w:r w:rsidR="00A47BDA">
        <w:rPr>
          <w:noProof/>
        </w:rPr>
        <w:tab/>
      </w:r>
      <w:r w:rsidR="003F25E6">
        <w:rPr>
          <w:noProof/>
        </w:rPr>
        <w:fldChar w:fldCharType="begin"/>
      </w:r>
      <w:r w:rsidR="00A47BDA">
        <w:rPr>
          <w:noProof/>
        </w:rPr>
        <w:instrText xml:space="preserve"> PAGEREF _Toc442283954 \h </w:instrText>
      </w:r>
      <w:r w:rsidR="003F25E6">
        <w:rPr>
          <w:noProof/>
        </w:rPr>
      </w:r>
      <w:r w:rsidR="003F25E6">
        <w:rPr>
          <w:noProof/>
        </w:rPr>
        <w:fldChar w:fldCharType="separate"/>
      </w:r>
      <w:r w:rsidR="00312643">
        <w:rPr>
          <w:noProof/>
        </w:rPr>
        <w:t>5</w:t>
      </w:r>
      <w:r w:rsidR="003F25E6">
        <w:rPr>
          <w:noProof/>
        </w:rPr>
        <w:fldChar w:fldCharType="end"/>
      </w:r>
    </w:p>
    <w:p w:rsidR="00A47BDA" w:rsidRDefault="008625DF" w:rsidP="00723AF2">
      <w:pPr>
        <w:pStyle w:val="TOC1"/>
        <w:tabs>
          <w:tab w:val="left" w:pos="440"/>
          <w:tab w:val="right" w:leader="dot" w:pos="9939"/>
        </w:tabs>
        <w:ind w:left="426"/>
        <w:rPr>
          <w:rFonts w:eastAsiaTheme="minorEastAsia"/>
          <w:b w:val="0"/>
          <w:noProof/>
          <w:sz w:val="22"/>
          <w:szCs w:val="22"/>
          <w:lang w:eastAsia="en-AU"/>
        </w:rPr>
      </w:pPr>
      <w:r>
        <w:rPr>
          <w:noProof/>
        </w:rPr>
        <w:t>5.3</w:t>
      </w:r>
      <w:r w:rsidR="00763C77">
        <w:rPr>
          <w:noProof/>
        </w:rPr>
        <w:t xml:space="preserve">   Privacy Principle 3 - Data quality</w:t>
      </w:r>
      <w:r w:rsidR="00A47BDA">
        <w:rPr>
          <w:noProof/>
        </w:rPr>
        <w:tab/>
      </w:r>
      <w:r w:rsidR="003F25E6">
        <w:rPr>
          <w:noProof/>
        </w:rPr>
        <w:fldChar w:fldCharType="begin"/>
      </w:r>
      <w:r w:rsidR="00A47BDA">
        <w:rPr>
          <w:noProof/>
        </w:rPr>
        <w:instrText xml:space="preserve"> PAGEREF _Toc442283955 \h </w:instrText>
      </w:r>
      <w:r w:rsidR="003F25E6">
        <w:rPr>
          <w:noProof/>
        </w:rPr>
      </w:r>
      <w:r w:rsidR="003F25E6">
        <w:rPr>
          <w:noProof/>
        </w:rPr>
        <w:fldChar w:fldCharType="separate"/>
      </w:r>
      <w:r w:rsidR="00312643">
        <w:rPr>
          <w:noProof/>
        </w:rPr>
        <w:t>5</w:t>
      </w:r>
      <w:r w:rsidR="003F25E6">
        <w:rPr>
          <w:noProof/>
        </w:rPr>
        <w:fldChar w:fldCharType="end"/>
      </w:r>
    </w:p>
    <w:p w:rsidR="00A47BDA" w:rsidRDefault="00763C77" w:rsidP="00723AF2">
      <w:pPr>
        <w:pStyle w:val="TOC1"/>
        <w:tabs>
          <w:tab w:val="left" w:pos="440"/>
          <w:tab w:val="right" w:leader="dot" w:pos="9939"/>
        </w:tabs>
        <w:ind w:left="426"/>
        <w:rPr>
          <w:rFonts w:eastAsiaTheme="minorEastAsia"/>
          <w:b w:val="0"/>
          <w:noProof/>
          <w:sz w:val="22"/>
          <w:szCs w:val="22"/>
          <w:lang w:eastAsia="en-AU"/>
        </w:rPr>
      </w:pPr>
      <w:r>
        <w:rPr>
          <w:noProof/>
        </w:rPr>
        <w:t>5.4   Privacy Principle 4 - Data security and retention</w:t>
      </w:r>
      <w:r w:rsidR="00A47BDA">
        <w:rPr>
          <w:noProof/>
        </w:rPr>
        <w:tab/>
      </w:r>
      <w:r>
        <w:rPr>
          <w:noProof/>
        </w:rPr>
        <w:t>5</w:t>
      </w:r>
    </w:p>
    <w:p w:rsidR="00A47BDA" w:rsidRDefault="00763C77" w:rsidP="00723AF2">
      <w:pPr>
        <w:pStyle w:val="TOC1"/>
        <w:tabs>
          <w:tab w:val="left" w:pos="440"/>
          <w:tab w:val="left" w:pos="660"/>
          <w:tab w:val="right" w:leader="dot" w:pos="9939"/>
        </w:tabs>
        <w:ind w:left="426"/>
        <w:rPr>
          <w:rFonts w:eastAsiaTheme="minorEastAsia"/>
          <w:b w:val="0"/>
          <w:noProof/>
          <w:sz w:val="22"/>
          <w:szCs w:val="22"/>
          <w:lang w:eastAsia="en-AU"/>
        </w:rPr>
      </w:pPr>
      <w:r>
        <w:rPr>
          <w:noProof/>
        </w:rPr>
        <w:t>5.5</w:t>
      </w:r>
      <w:r>
        <w:rPr>
          <w:rFonts w:eastAsiaTheme="minorEastAsia"/>
          <w:b w:val="0"/>
          <w:noProof/>
          <w:sz w:val="22"/>
          <w:szCs w:val="22"/>
          <w:lang w:eastAsia="en-AU"/>
        </w:rPr>
        <w:t xml:space="preserve">  </w:t>
      </w:r>
      <w:r w:rsidR="00723AF2">
        <w:rPr>
          <w:rFonts w:eastAsiaTheme="minorEastAsia"/>
          <w:b w:val="0"/>
          <w:noProof/>
          <w:sz w:val="22"/>
          <w:szCs w:val="22"/>
          <w:lang w:eastAsia="en-AU"/>
        </w:rPr>
        <w:t xml:space="preserve"> </w:t>
      </w:r>
      <w:r>
        <w:rPr>
          <w:noProof/>
        </w:rPr>
        <w:t>Privacy Principle 5 - Openness</w:t>
      </w:r>
      <w:r w:rsidR="00A47BDA">
        <w:rPr>
          <w:noProof/>
        </w:rPr>
        <w:tab/>
      </w:r>
      <w:r>
        <w:rPr>
          <w:noProof/>
        </w:rPr>
        <w:t>5</w:t>
      </w:r>
    </w:p>
    <w:p w:rsidR="00A47BDA" w:rsidRDefault="00763C77" w:rsidP="00723AF2">
      <w:pPr>
        <w:pStyle w:val="TOC1"/>
        <w:tabs>
          <w:tab w:val="left" w:pos="440"/>
          <w:tab w:val="left" w:pos="660"/>
          <w:tab w:val="right" w:leader="dot" w:pos="9939"/>
        </w:tabs>
        <w:ind w:left="426"/>
        <w:rPr>
          <w:rFonts w:eastAsiaTheme="minorEastAsia"/>
          <w:b w:val="0"/>
          <w:noProof/>
          <w:sz w:val="22"/>
          <w:szCs w:val="22"/>
          <w:lang w:eastAsia="en-AU"/>
        </w:rPr>
      </w:pPr>
      <w:r>
        <w:rPr>
          <w:noProof/>
        </w:rPr>
        <w:t>5.6</w:t>
      </w:r>
      <w:r>
        <w:rPr>
          <w:rFonts w:eastAsiaTheme="minorEastAsia"/>
          <w:b w:val="0"/>
          <w:noProof/>
          <w:sz w:val="22"/>
          <w:szCs w:val="22"/>
          <w:lang w:eastAsia="en-AU"/>
        </w:rPr>
        <w:t xml:space="preserve">  </w:t>
      </w:r>
      <w:r w:rsidR="00723AF2">
        <w:rPr>
          <w:rFonts w:eastAsiaTheme="minorEastAsia"/>
          <w:b w:val="0"/>
          <w:noProof/>
          <w:sz w:val="22"/>
          <w:szCs w:val="22"/>
          <w:lang w:eastAsia="en-AU"/>
        </w:rPr>
        <w:t xml:space="preserve"> </w:t>
      </w:r>
      <w:r>
        <w:rPr>
          <w:noProof/>
        </w:rPr>
        <w:t>Privacy Principle 6 - Access and corrections</w:t>
      </w:r>
      <w:r w:rsidR="00A47BDA">
        <w:rPr>
          <w:noProof/>
        </w:rPr>
        <w:tab/>
      </w:r>
      <w:r>
        <w:rPr>
          <w:noProof/>
        </w:rPr>
        <w:t>5</w:t>
      </w:r>
    </w:p>
    <w:p w:rsidR="00A47BDA" w:rsidRDefault="00763C77" w:rsidP="00723AF2">
      <w:pPr>
        <w:pStyle w:val="TOC1"/>
        <w:tabs>
          <w:tab w:val="left" w:pos="440"/>
          <w:tab w:val="left" w:pos="660"/>
          <w:tab w:val="right" w:leader="dot" w:pos="9939"/>
        </w:tabs>
        <w:ind w:left="426"/>
        <w:rPr>
          <w:rFonts w:eastAsiaTheme="minorEastAsia"/>
          <w:b w:val="0"/>
          <w:noProof/>
          <w:sz w:val="22"/>
          <w:szCs w:val="22"/>
          <w:lang w:eastAsia="en-AU"/>
        </w:rPr>
      </w:pPr>
      <w:r>
        <w:rPr>
          <w:noProof/>
        </w:rPr>
        <w:t>5.7</w:t>
      </w:r>
      <w:r w:rsidR="00723AF2">
        <w:rPr>
          <w:noProof/>
        </w:rPr>
        <w:t xml:space="preserve"> </w:t>
      </w:r>
      <w:r>
        <w:rPr>
          <w:rFonts w:eastAsiaTheme="minorEastAsia"/>
          <w:b w:val="0"/>
          <w:noProof/>
          <w:sz w:val="22"/>
          <w:szCs w:val="22"/>
          <w:lang w:eastAsia="en-AU"/>
        </w:rPr>
        <w:t xml:space="preserve">  </w:t>
      </w:r>
      <w:r>
        <w:rPr>
          <w:noProof/>
        </w:rPr>
        <w:t>Privacy Principle 7 - Unique identifiers</w:t>
      </w:r>
      <w:r w:rsidR="00A47BDA">
        <w:rPr>
          <w:noProof/>
        </w:rPr>
        <w:tab/>
      </w:r>
      <w:r w:rsidR="00552840">
        <w:rPr>
          <w:noProof/>
        </w:rPr>
        <w:t>6</w:t>
      </w:r>
    </w:p>
    <w:p w:rsidR="00A47BDA" w:rsidRDefault="00763C77" w:rsidP="00723AF2">
      <w:pPr>
        <w:pStyle w:val="TOC1"/>
        <w:tabs>
          <w:tab w:val="left" w:pos="440"/>
          <w:tab w:val="left" w:pos="660"/>
          <w:tab w:val="right" w:leader="dot" w:pos="9939"/>
        </w:tabs>
        <w:ind w:left="426"/>
        <w:rPr>
          <w:rFonts w:eastAsiaTheme="minorEastAsia"/>
          <w:b w:val="0"/>
          <w:noProof/>
          <w:sz w:val="22"/>
          <w:szCs w:val="22"/>
          <w:lang w:eastAsia="en-AU"/>
        </w:rPr>
      </w:pPr>
      <w:r>
        <w:rPr>
          <w:noProof/>
        </w:rPr>
        <w:t>5.8   Privacy Principle 8 - Anonymity</w:t>
      </w:r>
      <w:r w:rsidR="00A47BDA">
        <w:rPr>
          <w:noProof/>
        </w:rPr>
        <w:tab/>
      </w:r>
      <w:r>
        <w:rPr>
          <w:noProof/>
        </w:rPr>
        <w:t>6</w:t>
      </w:r>
    </w:p>
    <w:p w:rsidR="00552840" w:rsidRPr="00552840" w:rsidRDefault="00763C77" w:rsidP="00723AF2">
      <w:pPr>
        <w:pStyle w:val="TOC1"/>
        <w:tabs>
          <w:tab w:val="left" w:pos="440"/>
          <w:tab w:val="left" w:pos="660"/>
          <w:tab w:val="right" w:leader="dot" w:pos="9939"/>
        </w:tabs>
        <w:ind w:left="426"/>
        <w:rPr>
          <w:noProof/>
        </w:rPr>
      </w:pPr>
      <w:r>
        <w:rPr>
          <w:noProof/>
        </w:rPr>
        <w:t>5.9   Privacy Principle 9 - Trans-border data flows</w:t>
      </w:r>
      <w:r w:rsidR="00A47BDA">
        <w:rPr>
          <w:noProof/>
        </w:rPr>
        <w:tab/>
      </w:r>
      <w:r>
        <w:rPr>
          <w:noProof/>
        </w:rPr>
        <w:t>6</w:t>
      </w:r>
    </w:p>
    <w:p w:rsidR="00A47BDA" w:rsidRDefault="00763C77" w:rsidP="00723AF2">
      <w:pPr>
        <w:pStyle w:val="TOC1"/>
        <w:tabs>
          <w:tab w:val="left" w:pos="440"/>
          <w:tab w:val="right" w:leader="dot" w:pos="9939"/>
        </w:tabs>
        <w:ind w:left="426"/>
        <w:rPr>
          <w:rFonts w:eastAsiaTheme="minorEastAsia"/>
          <w:b w:val="0"/>
          <w:noProof/>
          <w:sz w:val="22"/>
          <w:szCs w:val="22"/>
          <w:lang w:eastAsia="en-AU"/>
        </w:rPr>
      </w:pPr>
      <w:r>
        <w:rPr>
          <w:noProof/>
        </w:rPr>
        <w:t>5.10 Privacy Principle 10 - Sensitive information</w:t>
      </w:r>
      <w:r w:rsidR="00A47BDA">
        <w:rPr>
          <w:noProof/>
        </w:rPr>
        <w:tab/>
      </w:r>
      <w:r w:rsidR="00552840">
        <w:rPr>
          <w:noProof/>
        </w:rPr>
        <w:t>6</w:t>
      </w:r>
    </w:p>
    <w:p w:rsidR="00763C77" w:rsidRDefault="00763C77" w:rsidP="00723AF2">
      <w:pPr>
        <w:pStyle w:val="TOC1"/>
        <w:tabs>
          <w:tab w:val="left" w:pos="440"/>
          <w:tab w:val="right" w:leader="dot" w:pos="9939"/>
        </w:tabs>
        <w:spacing w:line="360" w:lineRule="auto"/>
        <w:ind w:left="426"/>
        <w:rPr>
          <w:noProof/>
        </w:rPr>
      </w:pPr>
      <w:r>
        <w:rPr>
          <w:noProof/>
        </w:rPr>
        <w:t>5.11 Health Privacy Principle 10 and 11 - Health service provider changes</w:t>
      </w:r>
      <w:r w:rsidR="00A47BDA">
        <w:rPr>
          <w:noProof/>
        </w:rPr>
        <w:tab/>
      </w:r>
      <w:r>
        <w:rPr>
          <w:noProof/>
        </w:rPr>
        <w:t>7</w:t>
      </w:r>
    </w:p>
    <w:p w:rsidR="00763C77" w:rsidRDefault="00763C77" w:rsidP="00763C77">
      <w:pPr>
        <w:pStyle w:val="TOC1"/>
        <w:tabs>
          <w:tab w:val="left" w:pos="440"/>
          <w:tab w:val="right" w:leader="dot" w:pos="9939"/>
        </w:tabs>
        <w:spacing w:line="360" w:lineRule="auto"/>
        <w:ind w:left="284" w:hanging="284"/>
        <w:rPr>
          <w:noProof/>
        </w:rPr>
      </w:pPr>
      <w:r>
        <w:rPr>
          <w:noProof/>
        </w:rPr>
        <w:t>6</w:t>
      </w:r>
      <w:r w:rsidR="00552840">
        <w:rPr>
          <w:noProof/>
        </w:rPr>
        <w:t xml:space="preserve"> </w:t>
      </w:r>
      <w:r w:rsidR="00E63571">
        <w:rPr>
          <w:noProof/>
        </w:rPr>
        <w:t xml:space="preserve">  </w:t>
      </w:r>
      <w:r>
        <w:rPr>
          <w:noProof/>
        </w:rPr>
        <w:t>External contractors</w:t>
      </w:r>
      <w:r w:rsidR="00552840">
        <w:rPr>
          <w:noProof/>
        </w:rPr>
        <w:tab/>
        <w:t>7</w:t>
      </w:r>
    </w:p>
    <w:p w:rsidR="00763C77" w:rsidRDefault="00763C77" w:rsidP="00763C77">
      <w:pPr>
        <w:pStyle w:val="TOC1"/>
        <w:tabs>
          <w:tab w:val="left" w:pos="440"/>
          <w:tab w:val="right" w:leader="dot" w:pos="9939"/>
        </w:tabs>
        <w:spacing w:line="360" w:lineRule="auto"/>
        <w:ind w:left="284" w:hanging="284"/>
        <w:rPr>
          <w:noProof/>
        </w:rPr>
      </w:pPr>
      <w:r>
        <w:rPr>
          <w:noProof/>
        </w:rPr>
        <w:t>7</w:t>
      </w:r>
      <w:r w:rsidR="00E63571">
        <w:rPr>
          <w:noProof/>
        </w:rPr>
        <w:t xml:space="preserve">  </w:t>
      </w:r>
      <w:r w:rsidR="00552840">
        <w:rPr>
          <w:noProof/>
        </w:rPr>
        <w:t xml:space="preserve"> </w:t>
      </w:r>
      <w:r w:rsidR="00575693">
        <w:rPr>
          <w:noProof/>
        </w:rPr>
        <w:t>What to do if you believe your personal information has been mishandled</w:t>
      </w:r>
      <w:r w:rsidR="00552840">
        <w:rPr>
          <w:noProof/>
        </w:rPr>
        <w:tab/>
      </w:r>
      <w:r>
        <w:rPr>
          <w:noProof/>
        </w:rPr>
        <w:t>7</w:t>
      </w:r>
    </w:p>
    <w:p w:rsidR="00763C77" w:rsidRDefault="00763C77" w:rsidP="00763C77">
      <w:pPr>
        <w:pStyle w:val="TOC1"/>
        <w:tabs>
          <w:tab w:val="left" w:pos="440"/>
          <w:tab w:val="right" w:leader="dot" w:pos="9939"/>
        </w:tabs>
        <w:spacing w:line="360" w:lineRule="auto"/>
        <w:rPr>
          <w:noProof/>
        </w:rPr>
      </w:pPr>
      <w:r>
        <w:rPr>
          <w:noProof/>
        </w:rPr>
        <w:t>8   Staff training and awareness</w:t>
      </w:r>
      <w:r>
        <w:rPr>
          <w:noProof/>
        </w:rPr>
        <w:tab/>
        <w:t>7</w:t>
      </w:r>
    </w:p>
    <w:p w:rsidR="00763C77" w:rsidRDefault="00763C77" w:rsidP="00763C77">
      <w:pPr>
        <w:pStyle w:val="TOC1"/>
        <w:tabs>
          <w:tab w:val="left" w:pos="440"/>
          <w:tab w:val="right" w:leader="dot" w:pos="9939"/>
        </w:tabs>
        <w:spacing w:line="360" w:lineRule="auto"/>
        <w:rPr>
          <w:noProof/>
        </w:rPr>
      </w:pPr>
      <w:r>
        <w:rPr>
          <w:noProof/>
        </w:rPr>
        <w:t>9   Related documents</w:t>
      </w:r>
      <w:r>
        <w:rPr>
          <w:noProof/>
        </w:rPr>
        <w:tab/>
        <w:t>8</w:t>
      </w:r>
    </w:p>
    <w:p w:rsidR="00763C77" w:rsidRDefault="00763C77" w:rsidP="00763C77">
      <w:pPr>
        <w:pStyle w:val="TOC1"/>
        <w:tabs>
          <w:tab w:val="left" w:pos="440"/>
          <w:tab w:val="right" w:leader="dot" w:pos="9939"/>
        </w:tabs>
        <w:spacing w:line="360" w:lineRule="auto"/>
        <w:rPr>
          <w:noProof/>
        </w:rPr>
      </w:pPr>
      <w:r>
        <w:rPr>
          <w:noProof/>
        </w:rPr>
        <w:t>10  Changes and review</w:t>
      </w:r>
      <w:r>
        <w:rPr>
          <w:noProof/>
        </w:rPr>
        <w:tab/>
        <w:t>8</w:t>
      </w:r>
    </w:p>
    <w:p w:rsidR="00763C77" w:rsidRDefault="00763C77" w:rsidP="00763C77">
      <w:pPr>
        <w:pStyle w:val="TOC1"/>
        <w:tabs>
          <w:tab w:val="left" w:pos="440"/>
          <w:tab w:val="right" w:leader="dot" w:pos="9939"/>
        </w:tabs>
        <w:spacing w:line="360" w:lineRule="auto"/>
        <w:rPr>
          <w:noProof/>
        </w:rPr>
      </w:pPr>
      <w:r>
        <w:rPr>
          <w:noProof/>
        </w:rPr>
        <w:t>11  Further information</w:t>
      </w:r>
      <w:r>
        <w:rPr>
          <w:noProof/>
        </w:rPr>
        <w:tab/>
        <w:t>8</w:t>
      </w:r>
    </w:p>
    <w:p w:rsidR="00763C77" w:rsidRDefault="00763C77" w:rsidP="00763C77">
      <w:pPr>
        <w:pStyle w:val="TOC1"/>
        <w:tabs>
          <w:tab w:val="left" w:pos="440"/>
          <w:tab w:val="right" w:leader="dot" w:pos="9939"/>
        </w:tabs>
        <w:spacing w:line="360" w:lineRule="auto"/>
        <w:rPr>
          <w:noProof/>
        </w:rPr>
      </w:pPr>
      <w:r>
        <w:rPr>
          <w:noProof/>
        </w:rPr>
        <w:t>Appendix A - Information Privacy Principles (IPP's)</w:t>
      </w:r>
      <w:r>
        <w:rPr>
          <w:noProof/>
        </w:rPr>
        <w:tab/>
        <w:t>9</w:t>
      </w:r>
    </w:p>
    <w:p w:rsidR="00763C77" w:rsidRDefault="00763C77" w:rsidP="00763C77">
      <w:pPr>
        <w:pStyle w:val="TOC1"/>
        <w:tabs>
          <w:tab w:val="left" w:pos="440"/>
          <w:tab w:val="right" w:leader="dot" w:pos="9939"/>
        </w:tabs>
        <w:spacing w:line="360" w:lineRule="auto"/>
        <w:rPr>
          <w:noProof/>
        </w:rPr>
      </w:pPr>
      <w:r>
        <w:rPr>
          <w:noProof/>
        </w:rPr>
        <w:t>Appendix A - Health Privacy Principles (HPP's)</w:t>
      </w:r>
      <w:r>
        <w:rPr>
          <w:noProof/>
        </w:rPr>
        <w:tab/>
        <w:t>10</w:t>
      </w:r>
    </w:p>
    <w:p w:rsidR="003B5DF1" w:rsidRDefault="00763C77" w:rsidP="00763C77">
      <w:pPr>
        <w:pStyle w:val="TOC1"/>
        <w:tabs>
          <w:tab w:val="left" w:pos="440"/>
          <w:tab w:val="right" w:leader="dot" w:pos="9939"/>
        </w:tabs>
        <w:spacing w:line="360" w:lineRule="auto"/>
        <w:rPr>
          <w:rFonts w:asciiTheme="majorHAnsi" w:eastAsiaTheme="majorEastAsia" w:hAnsiTheme="majorHAnsi" w:cs="Arial"/>
          <w:b w:val="0"/>
          <w:bCs/>
          <w:sz w:val="32"/>
        </w:rPr>
      </w:pPr>
      <w:r>
        <w:rPr>
          <w:noProof/>
        </w:rPr>
        <w:t>Document control</w:t>
      </w:r>
      <w:r>
        <w:rPr>
          <w:noProof/>
        </w:rPr>
        <w:tab/>
        <w:t>11</w:t>
      </w:r>
      <w:r>
        <w:rPr>
          <w:noProof/>
        </w:rPr>
        <w:br/>
      </w:r>
      <w:r w:rsidR="003F25E6">
        <w:rPr>
          <w:rFonts w:cs="Arial"/>
        </w:rPr>
        <w:fldChar w:fldCharType="end"/>
      </w:r>
      <w:r w:rsidR="003B5DF1">
        <w:rPr>
          <w:rFonts w:cs="Arial"/>
        </w:rPr>
        <w:br w:type="page"/>
      </w:r>
    </w:p>
    <w:p w:rsidR="00EB7DF1" w:rsidRDefault="0066263C" w:rsidP="00B95B54">
      <w:pPr>
        <w:pStyle w:val="Heading1"/>
      </w:pPr>
      <w:r>
        <w:lastRenderedPageBreak/>
        <w:t xml:space="preserve">Background </w:t>
      </w:r>
    </w:p>
    <w:p w:rsidR="0066263C" w:rsidRDefault="0066263C" w:rsidP="0066263C">
      <w:pPr>
        <w:ind w:left="432"/>
      </w:pPr>
      <w:r>
        <w:t>Since 1</w:t>
      </w:r>
      <w:r w:rsidRPr="0066263C">
        <w:rPr>
          <w:vertAlign w:val="superscript"/>
        </w:rPr>
        <w:t>st</w:t>
      </w:r>
      <w:r>
        <w:t xml:space="preserve"> July 2002, all Victorian Councils have been required to comply with the </w:t>
      </w:r>
      <w:r w:rsidRPr="0066263C">
        <w:rPr>
          <w:i/>
        </w:rPr>
        <w:t>Privacy and Data Protection Act 2014</w:t>
      </w:r>
      <w:r>
        <w:t xml:space="preserve"> (previously known as the </w:t>
      </w:r>
      <w:r w:rsidRPr="0066263C">
        <w:rPr>
          <w:i/>
        </w:rPr>
        <w:t>Information Privacy Act 2000</w:t>
      </w:r>
      <w:r>
        <w:t xml:space="preserve">) and the </w:t>
      </w:r>
      <w:r w:rsidRPr="0066263C">
        <w:rPr>
          <w:i/>
        </w:rPr>
        <w:t>Health Records Act 2001</w:t>
      </w:r>
      <w:r>
        <w:t>.  The Privacy and Data Protection Act 2014 regulates the management, collection, use and disclosure of ‘personal information’ and ‘sensitive information’, whilst the Health Records Act 2001 regulates the management, collection and use and disclosure of ‘health information’.</w:t>
      </w:r>
    </w:p>
    <w:p w:rsidR="0066263C" w:rsidRDefault="0066263C" w:rsidP="009A3C62">
      <w:pPr>
        <w:pStyle w:val="Heading1"/>
      </w:pPr>
      <w:bookmarkStart w:id="1" w:name="_Toc442283949"/>
      <w:r>
        <w:t>Policy Statement</w:t>
      </w:r>
    </w:p>
    <w:p w:rsidR="0066263C" w:rsidRDefault="0066263C" w:rsidP="0066263C">
      <w:pPr>
        <w:ind w:left="432"/>
      </w:pPr>
      <w:r>
        <w:t xml:space="preserve">Hobsons Bay City Council is strongly committed to protecting and preserving an individual’s right to privacy and to the responsible and fair handling of their personal, sensitive and health information.  Council is committed to full compliance with its obligations under the </w:t>
      </w:r>
      <w:r w:rsidRPr="00E40790">
        <w:rPr>
          <w:i/>
        </w:rPr>
        <w:t>Privacy and Data Protection Act 2014</w:t>
      </w:r>
      <w:r w:rsidRPr="00723AF2">
        <w:t xml:space="preserve"> and the </w:t>
      </w:r>
      <w:r w:rsidRPr="00E40790">
        <w:rPr>
          <w:i/>
        </w:rPr>
        <w:t>Health Records Act 2001</w:t>
      </w:r>
      <w:r w:rsidRPr="00723AF2">
        <w:t xml:space="preserve"> </w:t>
      </w:r>
      <w:r>
        <w:t>as detailed in each of the</w:t>
      </w:r>
      <w:r w:rsidRPr="004C4E6A">
        <w:t xml:space="preserve"> </w:t>
      </w:r>
      <w:r>
        <w:t xml:space="preserve">Information Privacy Principles (IPP’s) </w:t>
      </w:r>
      <w:r w:rsidR="00723AF2">
        <w:t xml:space="preserve">(Refer to Page 9) </w:t>
      </w:r>
      <w:r>
        <w:t xml:space="preserve">and the Health Privacy Principles (HPP’s) (Refer to </w:t>
      </w:r>
      <w:r w:rsidR="00723AF2">
        <w:t>Page 10</w:t>
      </w:r>
      <w:r>
        <w:t>).</w:t>
      </w:r>
    </w:p>
    <w:p w:rsidR="00E11586" w:rsidRDefault="00E11586" w:rsidP="0066263C">
      <w:pPr>
        <w:ind w:left="432"/>
      </w:pPr>
      <w:r>
        <w:t>This policy will discuss each of the privacy principles in more detail.</w:t>
      </w:r>
    </w:p>
    <w:p w:rsidR="00FA7F49" w:rsidRDefault="00FA7F49" w:rsidP="0066263C">
      <w:pPr>
        <w:pStyle w:val="Heading1"/>
      </w:pPr>
      <w:r>
        <w:t>Scope</w:t>
      </w:r>
    </w:p>
    <w:p w:rsidR="00E01D46" w:rsidRPr="00FA7F49" w:rsidRDefault="004E45B1" w:rsidP="004E45B1">
      <w:pPr>
        <w:ind w:left="432"/>
      </w:pPr>
      <w:r>
        <w:t xml:space="preserve">This policy applies to all </w:t>
      </w:r>
      <w:r w:rsidR="00E01D46">
        <w:t xml:space="preserve">Councillors, Council employees and </w:t>
      </w:r>
      <w:r>
        <w:t>contractors</w:t>
      </w:r>
      <w:r w:rsidR="00E01D46">
        <w:t xml:space="preserve"> of the Hobsons Bay City Council.</w:t>
      </w:r>
      <w:r>
        <w:t xml:space="preserve">  This policy covers all personal and health information collected </w:t>
      </w:r>
      <w:r w:rsidR="00E95DCC">
        <w:t>by</w:t>
      </w:r>
      <w:r w:rsidR="00A40871">
        <w:t xml:space="preserve"> Councillors, Council employees and contractors </w:t>
      </w:r>
      <w:r w:rsidR="00E01D46">
        <w:t xml:space="preserve">in person, over the telephone, </w:t>
      </w:r>
      <w:r w:rsidR="00E95DCC">
        <w:t xml:space="preserve">as </w:t>
      </w:r>
      <w:r w:rsidR="00E01D46">
        <w:t>correspondence</w:t>
      </w:r>
      <w:r w:rsidR="00E95DCC">
        <w:t xml:space="preserve"> or on forms </w:t>
      </w:r>
      <w:r w:rsidR="00E01D46">
        <w:t>(</w:t>
      </w:r>
      <w:r w:rsidR="00E95DCC">
        <w:t xml:space="preserve">both </w:t>
      </w:r>
      <w:r w:rsidR="00E01D46">
        <w:t>paper or electronic</w:t>
      </w:r>
      <w:r w:rsidR="00E95DCC">
        <w:t>ally</w:t>
      </w:r>
      <w:r w:rsidR="00E01D46">
        <w:t>) o</w:t>
      </w:r>
      <w:r w:rsidR="00E95DCC">
        <w:t xml:space="preserve">r through Council’s </w:t>
      </w:r>
      <w:r w:rsidR="00946398">
        <w:t>social media and</w:t>
      </w:r>
      <w:r w:rsidR="00E95DCC">
        <w:t xml:space="preserve"> web sites.</w:t>
      </w:r>
    </w:p>
    <w:bookmarkEnd w:id="1"/>
    <w:p w:rsidR="009A3C62" w:rsidRDefault="00514DFB" w:rsidP="009A3C62">
      <w:pPr>
        <w:pStyle w:val="Heading1"/>
      </w:pPr>
      <w:r>
        <w:t>Definitions</w:t>
      </w:r>
    </w:p>
    <w:p w:rsidR="00514DFB" w:rsidRPr="00353F2D" w:rsidRDefault="009A3C62" w:rsidP="00723AF2">
      <w:pPr>
        <w:pStyle w:val="ListParagraph"/>
        <w:ind w:left="1134" w:hanging="644"/>
      </w:pPr>
      <w:r w:rsidRPr="00353F2D">
        <w:rPr>
          <w:b/>
        </w:rPr>
        <w:t>Personal information</w:t>
      </w:r>
      <w:r w:rsidRPr="00353F2D">
        <w:t xml:space="preserve"> </w:t>
      </w:r>
      <w:r w:rsidR="00514DFB" w:rsidRPr="00353F2D">
        <w:t>is</w:t>
      </w:r>
      <w:r w:rsidRPr="00353F2D">
        <w:t xml:space="preserve"> information or an opinion</w:t>
      </w:r>
      <w:r w:rsidR="006A4882" w:rsidRPr="00353F2D">
        <w:t>,</w:t>
      </w:r>
      <w:r w:rsidRPr="00353F2D">
        <w:t xml:space="preserve"> </w:t>
      </w:r>
      <w:r w:rsidR="00514DFB" w:rsidRPr="00353F2D">
        <w:t xml:space="preserve">whether true or not, </w:t>
      </w:r>
      <w:r w:rsidRPr="00353F2D">
        <w:t>about an individual whose identity is apparent, or</w:t>
      </w:r>
      <w:r w:rsidR="006A4882" w:rsidRPr="00353F2D">
        <w:t xml:space="preserve"> can reasonably be ascertained</w:t>
      </w:r>
      <w:r w:rsidR="00514DFB" w:rsidRPr="00353F2D">
        <w:t>,</w:t>
      </w:r>
      <w:r w:rsidR="006A4882" w:rsidRPr="00353F2D">
        <w:t xml:space="preserve"> </w:t>
      </w:r>
      <w:r w:rsidRPr="00353F2D">
        <w:t xml:space="preserve">from the information or opinion.  </w:t>
      </w:r>
      <w:bookmarkStart w:id="2" w:name="_Toc442283950"/>
    </w:p>
    <w:p w:rsidR="00514DFB" w:rsidRPr="00353F2D" w:rsidRDefault="009A3C62" w:rsidP="00723AF2">
      <w:pPr>
        <w:pStyle w:val="ListParagraph"/>
        <w:ind w:left="1134" w:hanging="644"/>
      </w:pPr>
      <w:r w:rsidRPr="00353F2D">
        <w:rPr>
          <w:b/>
        </w:rPr>
        <w:t>Sensitive Information</w:t>
      </w:r>
      <w:bookmarkEnd w:id="2"/>
      <w:r w:rsidR="00514DFB" w:rsidRPr="00353F2D">
        <w:t xml:space="preserve"> is personal information or an opinion about an individual’s </w:t>
      </w:r>
      <w:r w:rsidRPr="00353F2D">
        <w:t>racial or ethnic origin, political opinions, trade union membership, philosophical or religious beliefs, sexual preferences or criminal record.</w:t>
      </w:r>
    </w:p>
    <w:p w:rsidR="00514DFB" w:rsidRPr="00353F2D" w:rsidRDefault="00514DFB" w:rsidP="00723AF2">
      <w:pPr>
        <w:pStyle w:val="ListParagraph"/>
        <w:ind w:left="1134" w:hanging="644"/>
      </w:pPr>
      <w:r w:rsidRPr="00353F2D">
        <w:rPr>
          <w:b/>
        </w:rPr>
        <w:t xml:space="preserve">Health Information </w:t>
      </w:r>
      <w:r w:rsidRPr="00353F2D">
        <w:t>is information or an opinion about the physical, mental or psychological health, or disability of an individual or a health service provided or to be provided to an individual.</w:t>
      </w:r>
    </w:p>
    <w:p w:rsidR="00F511BC" w:rsidRPr="00353F2D" w:rsidRDefault="00514DFB" w:rsidP="00723AF2">
      <w:pPr>
        <w:pStyle w:val="ListParagraph"/>
        <w:ind w:left="1134" w:hanging="644"/>
      </w:pPr>
      <w:r w:rsidRPr="00353F2D">
        <w:rPr>
          <w:b/>
        </w:rPr>
        <w:t>Information Privacy Principles</w:t>
      </w:r>
      <w:r w:rsidRPr="00353F2D">
        <w:t xml:space="preserve"> </w:t>
      </w:r>
      <w:r w:rsidR="00F511BC" w:rsidRPr="00353F2D">
        <w:t xml:space="preserve">(IPP’s) </w:t>
      </w:r>
      <w:r w:rsidRPr="00353F2D">
        <w:t xml:space="preserve">are the ten principles </w:t>
      </w:r>
      <w:r w:rsidR="00F511BC" w:rsidRPr="00353F2D">
        <w:t xml:space="preserve">established by the </w:t>
      </w:r>
      <w:r w:rsidR="00F511BC" w:rsidRPr="00F0591E">
        <w:rPr>
          <w:i/>
        </w:rPr>
        <w:t>Privacy and Data Protection Act 2014</w:t>
      </w:r>
      <w:r w:rsidR="00E63571" w:rsidRPr="00353F2D">
        <w:t xml:space="preserve"> </w:t>
      </w:r>
      <w:r w:rsidR="00F511BC" w:rsidRPr="00353F2D">
        <w:t>that regulate how the Council will collect, hold, manage, use, disclose or transfer personal information.</w:t>
      </w:r>
    </w:p>
    <w:p w:rsidR="00F511BC" w:rsidRPr="00353F2D" w:rsidRDefault="00CF5299" w:rsidP="00723AF2">
      <w:pPr>
        <w:pStyle w:val="ListParagraph"/>
        <w:ind w:left="1134" w:hanging="644"/>
      </w:pPr>
      <w:r w:rsidRPr="00353F2D">
        <w:rPr>
          <w:b/>
        </w:rPr>
        <w:t xml:space="preserve">Health Privacy Principles </w:t>
      </w:r>
      <w:r w:rsidR="00F511BC" w:rsidRPr="00353F2D">
        <w:t>(HPP’s)</w:t>
      </w:r>
      <w:r w:rsidR="00F511BC" w:rsidRPr="00353F2D">
        <w:rPr>
          <w:b/>
        </w:rPr>
        <w:t xml:space="preserve"> </w:t>
      </w:r>
      <w:r w:rsidR="00F511BC" w:rsidRPr="00353F2D">
        <w:t xml:space="preserve">are the eleven principles established by the </w:t>
      </w:r>
      <w:r w:rsidR="00C9236C" w:rsidRPr="008B7797">
        <w:rPr>
          <w:i/>
        </w:rPr>
        <w:t>Health Records Act 2001</w:t>
      </w:r>
      <w:r w:rsidR="00C9236C" w:rsidRPr="00353F2D">
        <w:t xml:space="preserve"> </w:t>
      </w:r>
      <w:r w:rsidR="00F511BC" w:rsidRPr="00353F2D">
        <w:t>that regulate how the Council as a health service provider will collect, hold, manage, use, disclose or transfer health information.</w:t>
      </w:r>
    </w:p>
    <w:p w:rsidR="00E11586" w:rsidRPr="00353F2D" w:rsidRDefault="00E11586" w:rsidP="00723AF2">
      <w:pPr>
        <w:ind w:left="1134" w:hanging="644"/>
      </w:pPr>
    </w:p>
    <w:p w:rsidR="00381E8A" w:rsidRPr="00353F2D" w:rsidRDefault="00CF5299" w:rsidP="00723AF2">
      <w:pPr>
        <w:pStyle w:val="ListParagraph"/>
        <w:ind w:left="1134" w:hanging="644"/>
      </w:pPr>
      <w:r w:rsidRPr="00353F2D">
        <w:rPr>
          <w:b/>
        </w:rPr>
        <w:lastRenderedPageBreak/>
        <w:t>Public Register</w:t>
      </w:r>
      <w:r w:rsidR="00F511BC" w:rsidRPr="00353F2D">
        <w:rPr>
          <w:b/>
        </w:rPr>
        <w:t xml:space="preserve">s </w:t>
      </w:r>
      <w:r w:rsidR="00F511BC" w:rsidRPr="00353F2D">
        <w:t>are d</w:t>
      </w:r>
      <w:r w:rsidRPr="00353F2D">
        <w:t>ocument</w:t>
      </w:r>
      <w:r w:rsidR="00F511BC" w:rsidRPr="00353F2D">
        <w:t>s</w:t>
      </w:r>
      <w:r w:rsidRPr="00353F2D">
        <w:t xml:space="preserve"> that Council is required to </w:t>
      </w:r>
      <w:r w:rsidR="00E95DCC" w:rsidRPr="00353F2D">
        <w:t>make publicly available</w:t>
      </w:r>
      <w:r w:rsidRPr="00353F2D">
        <w:t xml:space="preserve"> in accordance with </w:t>
      </w:r>
      <w:r w:rsidR="00E95DCC" w:rsidRPr="00353F2D">
        <w:t>State Government legislation</w:t>
      </w:r>
      <w:r w:rsidRPr="00353F2D">
        <w:t xml:space="preserve">.  Public Registers </w:t>
      </w:r>
      <w:r w:rsidR="00E95DCC" w:rsidRPr="00353F2D">
        <w:t xml:space="preserve">may </w:t>
      </w:r>
      <w:r w:rsidR="00F511BC" w:rsidRPr="00353F2D">
        <w:t xml:space="preserve">contain personal information and </w:t>
      </w:r>
      <w:r w:rsidRPr="00353F2D">
        <w:t xml:space="preserve">are open to inspection by members of the public.  </w:t>
      </w:r>
      <w:r w:rsidR="00E95DCC" w:rsidRPr="00353F2D">
        <w:t xml:space="preserve">Examples of public registers maintained by Council include a register of building permits pursuant to Section 31 of the </w:t>
      </w:r>
      <w:r w:rsidR="00E95DCC" w:rsidRPr="008B7797">
        <w:rPr>
          <w:i/>
        </w:rPr>
        <w:t>Building Act 1993</w:t>
      </w:r>
      <w:r w:rsidR="00E95DCC" w:rsidRPr="00353F2D">
        <w:t xml:space="preserve"> and a register of occupancy permits and temporary approvals received by Council pursuant to Section 74 of the </w:t>
      </w:r>
      <w:r w:rsidR="00E95DCC" w:rsidRPr="008B7797">
        <w:rPr>
          <w:i/>
        </w:rPr>
        <w:t>Building Act 1993</w:t>
      </w:r>
      <w:r w:rsidR="00E95DCC" w:rsidRPr="00353F2D">
        <w:t>.</w:t>
      </w:r>
    </w:p>
    <w:p w:rsidR="00A45AAB" w:rsidRPr="00353F2D" w:rsidRDefault="00A45AAB" w:rsidP="00723AF2">
      <w:pPr>
        <w:pStyle w:val="ListParagraph"/>
        <w:ind w:left="1134" w:hanging="644"/>
      </w:pPr>
      <w:r w:rsidRPr="00353F2D">
        <w:rPr>
          <w:b/>
        </w:rPr>
        <w:t xml:space="preserve">Privacy Collection Statement </w:t>
      </w:r>
      <w:r w:rsidRPr="00353F2D">
        <w:t>is a statement that appears on every</w:t>
      </w:r>
      <w:r w:rsidR="00F12C1F" w:rsidRPr="00353F2D">
        <w:t xml:space="preserve"> Council developed</w:t>
      </w:r>
      <w:r w:rsidRPr="00353F2D">
        <w:t xml:space="preserve"> form or register </w:t>
      </w:r>
      <w:r w:rsidR="00F12C1F" w:rsidRPr="00353F2D">
        <w:t>(both hardcopy and online) that details why the information is being collected by Council, to whom the information will/may be disclosed and why.  It specifies any law that requires Council to collect the information and details how an individual can go about gaining access to the information they supply to amend it if required.</w:t>
      </w:r>
    </w:p>
    <w:p w:rsidR="008A4193" w:rsidRDefault="008A4193" w:rsidP="008A4193">
      <w:pPr>
        <w:pStyle w:val="Heading1"/>
      </w:pPr>
      <w:r>
        <w:t xml:space="preserve">Information Privacy </w:t>
      </w:r>
      <w:r w:rsidR="005F6538">
        <w:t xml:space="preserve">Principles </w:t>
      </w:r>
      <w:r w:rsidR="00E11586">
        <w:t xml:space="preserve">and Health Privacy </w:t>
      </w:r>
      <w:r>
        <w:t>Principles</w:t>
      </w:r>
    </w:p>
    <w:p w:rsidR="008A4193" w:rsidRDefault="00E11586" w:rsidP="00E11586">
      <w:pPr>
        <w:ind w:left="432"/>
      </w:pPr>
      <w:r>
        <w:t xml:space="preserve">The </w:t>
      </w:r>
      <w:r w:rsidRPr="008B7797">
        <w:rPr>
          <w:i/>
        </w:rPr>
        <w:t>Privacy and Data Protection Act 2014</w:t>
      </w:r>
      <w:r>
        <w:t xml:space="preserve"> contains ten Information Privacy Principles (IPP’s) and the </w:t>
      </w:r>
      <w:r w:rsidRPr="008B7797">
        <w:rPr>
          <w:i/>
        </w:rPr>
        <w:t>Health Records Act 2001</w:t>
      </w:r>
      <w:r>
        <w:t xml:space="preserve"> contains eleven Health Privacy Principles (HPP’s).  These principles regulate how Council will collect, handle, use</w:t>
      </w:r>
      <w:r w:rsidR="008A4193">
        <w:t xml:space="preserve"> and disclosure </w:t>
      </w:r>
      <w:r>
        <w:t>the personal, sensitive and health information it collects.</w:t>
      </w:r>
    </w:p>
    <w:p w:rsidR="008A4CA7" w:rsidRDefault="008A4CA7" w:rsidP="00E11586">
      <w:pPr>
        <w:ind w:left="432"/>
      </w:pPr>
    </w:p>
    <w:p w:rsidR="009A3C62" w:rsidRPr="00E11586" w:rsidRDefault="008A4193" w:rsidP="00E11586">
      <w:pPr>
        <w:pStyle w:val="Heading2"/>
        <w:ind w:left="1134" w:hanging="708"/>
        <w:rPr>
          <w:szCs w:val="24"/>
        </w:rPr>
      </w:pPr>
      <w:bookmarkStart w:id="3" w:name="_Toc442283952"/>
      <w:r w:rsidRPr="00E11586">
        <w:rPr>
          <w:szCs w:val="24"/>
        </w:rPr>
        <w:t xml:space="preserve">Privacy Principle 1 - </w:t>
      </w:r>
      <w:r w:rsidR="009A3C62" w:rsidRPr="00E11586">
        <w:rPr>
          <w:szCs w:val="24"/>
        </w:rPr>
        <w:t>Collection</w:t>
      </w:r>
      <w:bookmarkEnd w:id="3"/>
      <w:r w:rsidR="004A2F3C" w:rsidRPr="00E11586">
        <w:rPr>
          <w:szCs w:val="24"/>
        </w:rPr>
        <w:t xml:space="preserve"> of personal or health </w:t>
      </w:r>
      <w:r w:rsidR="00A45AAB" w:rsidRPr="00E11586">
        <w:rPr>
          <w:szCs w:val="24"/>
        </w:rPr>
        <w:t>I</w:t>
      </w:r>
      <w:r w:rsidR="004A2F3C" w:rsidRPr="00E11586">
        <w:rPr>
          <w:szCs w:val="24"/>
        </w:rPr>
        <w:t>nformation</w:t>
      </w:r>
    </w:p>
    <w:p w:rsidR="00353F2D" w:rsidRDefault="009A3C62" w:rsidP="00116A59">
      <w:pPr>
        <w:ind w:left="1134"/>
      </w:pPr>
      <w:r>
        <w:t xml:space="preserve">Council will only collect </w:t>
      </w:r>
      <w:r w:rsidR="004A2F3C">
        <w:t>the personal</w:t>
      </w:r>
      <w:r w:rsidR="00A45AAB">
        <w:t xml:space="preserve"> or health</w:t>
      </w:r>
      <w:r>
        <w:t xml:space="preserve"> information that is necessary </w:t>
      </w:r>
      <w:r w:rsidR="00F12C1F">
        <w:t>in order for it to provide a service and/or carry out its functions and activities.</w:t>
      </w:r>
      <w:r>
        <w:t xml:space="preserve">  In some instances, Council is required by la</w:t>
      </w:r>
      <w:r w:rsidR="00353F2D">
        <w:t>w to collect this information.</w:t>
      </w:r>
    </w:p>
    <w:p w:rsidR="00353F2D" w:rsidRDefault="00A45AAB" w:rsidP="00116A59">
      <w:pPr>
        <w:ind w:left="1134"/>
      </w:pPr>
      <w:r>
        <w:t xml:space="preserve">Council will advise individuals, where possible, of the purpose for collecting the information and how they can access this information should they want to correct it.  This is done </w:t>
      </w:r>
      <w:r w:rsidR="00F12C1F">
        <w:t xml:space="preserve">by a Council Officer when dealing in person or over the phone with an individual or </w:t>
      </w:r>
      <w:r>
        <w:t xml:space="preserve">by a Privacy Collection Statement </w:t>
      </w:r>
      <w:r w:rsidR="00F12C1F">
        <w:t>when collecting personal information on a Council form or attendance register (both hardcopy and on</w:t>
      </w:r>
      <w:r>
        <w:t>line).</w:t>
      </w:r>
    </w:p>
    <w:p w:rsidR="00353F2D" w:rsidRDefault="004A2F3C" w:rsidP="00116A59">
      <w:pPr>
        <w:ind w:left="1134"/>
      </w:pPr>
      <w:r>
        <w:t>If it is reas</w:t>
      </w:r>
      <w:r w:rsidR="00A45AAB">
        <w:t>onable and practicable to do so</w:t>
      </w:r>
      <w:r>
        <w:t xml:space="preserve"> Council will only collect persona</w:t>
      </w:r>
      <w:r w:rsidR="00A45AAB">
        <w:t xml:space="preserve">l information directly from that </w:t>
      </w:r>
      <w:r>
        <w:t xml:space="preserve">individual.   If information is collected about an individual from someone else, Council will take reasonable steps to make sure </w:t>
      </w:r>
      <w:r w:rsidR="00F12C1F">
        <w:t>the individual is</w:t>
      </w:r>
      <w:r w:rsidR="00A45AAB">
        <w:t xml:space="preserve"> </w:t>
      </w:r>
      <w:r>
        <w:t>made aware of the information that</w:t>
      </w:r>
      <w:r w:rsidR="00A45AAB">
        <w:t xml:space="preserve"> has been collected about them.</w:t>
      </w:r>
    </w:p>
    <w:p w:rsidR="004A2F3C" w:rsidRDefault="004A2F3C" w:rsidP="00E11586">
      <w:pPr>
        <w:ind w:left="1134"/>
      </w:pPr>
      <w:r>
        <w:t>Sensitive information will only be collected where the individual has consented, or collection is required or permitted by law.  Sensitive information will be treated securely and confidentially and only be used for the purpose for which it was collected.</w:t>
      </w:r>
    </w:p>
    <w:p w:rsidR="008A4CA7" w:rsidRDefault="008A4CA7">
      <w:pPr>
        <w:spacing w:after="200"/>
      </w:pPr>
      <w:r>
        <w:br w:type="page"/>
      </w:r>
    </w:p>
    <w:p w:rsidR="008A4CA7" w:rsidRDefault="008A4CA7" w:rsidP="00E11586">
      <w:pPr>
        <w:ind w:left="1134"/>
      </w:pPr>
    </w:p>
    <w:p w:rsidR="004D0C33" w:rsidRPr="00E11586" w:rsidRDefault="008A4193" w:rsidP="00E11586">
      <w:pPr>
        <w:pStyle w:val="Heading2"/>
        <w:ind w:left="1134" w:hanging="708"/>
      </w:pPr>
      <w:bookmarkStart w:id="4" w:name="_Toc442283953"/>
      <w:r w:rsidRPr="00E11586">
        <w:t xml:space="preserve">Privacy Principle 2 - </w:t>
      </w:r>
      <w:r w:rsidR="004D0C33" w:rsidRPr="00E11586">
        <w:t xml:space="preserve">Use and </w:t>
      </w:r>
      <w:r w:rsidR="00BB2135" w:rsidRPr="00E11586">
        <w:t>d</w:t>
      </w:r>
      <w:r w:rsidR="004D0C33" w:rsidRPr="00E11586">
        <w:t>isclosure</w:t>
      </w:r>
      <w:bookmarkEnd w:id="4"/>
      <w:r w:rsidR="00BB2135" w:rsidRPr="00E11586">
        <w:t xml:space="preserve"> of i</w:t>
      </w:r>
      <w:r w:rsidR="005C0DBC" w:rsidRPr="00E11586">
        <w:t>nformation</w:t>
      </w:r>
    </w:p>
    <w:p w:rsidR="005C0DBC" w:rsidRDefault="004D0C33" w:rsidP="00E11586">
      <w:pPr>
        <w:ind w:left="1134"/>
      </w:pPr>
      <w:r>
        <w:t xml:space="preserve">Council will </w:t>
      </w:r>
      <w:r w:rsidR="005C0DBC">
        <w:t>not use or disclose information about an individual other than for the primary purpose for which it was collected unless one of the following applies:</w:t>
      </w:r>
    </w:p>
    <w:p w:rsidR="005C0DBC" w:rsidRDefault="00BB2135" w:rsidP="005F6538">
      <w:pPr>
        <w:pStyle w:val="ListParagraph"/>
        <w:numPr>
          <w:ilvl w:val="0"/>
          <w:numId w:val="14"/>
        </w:numPr>
      </w:pPr>
      <w:r>
        <w:t>The secondary purpose is directly related to the primary purpose and the individual would reasonably expect Council to use and disclose their  information</w:t>
      </w:r>
    </w:p>
    <w:p w:rsidR="005C0DBC" w:rsidRDefault="005C0DBC" w:rsidP="005F6538">
      <w:pPr>
        <w:pStyle w:val="ListParagraph"/>
        <w:numPr>
          <w:ilvl w:val="0"/>
          <w:numId w:val="14"/>
        </w:numPr>
      </w:pPr>
      <w:r>
        <w:t>Council has consent of the individual to do so</w:t>
      </w:r>
    </w:p>
    <w:p w:rsidR="005C0DBC" w:rsidRDefault="005C0DBC" w:rsidP="005F6538">
      <w:pPr>
        <w:pStyle w:val="ListParagraph"/>
        <w:numPr>
          <w:ilvl w:val="0"/>
          <w:numId w:val="14"/>
        </w:numPr>
      </w:pPr>
      <w:r>
        <w:t>Council is permitted or required by law or it is in the inte</w:t>
      </w:r>
      <w:r w:rsidR="00C9236C">
        <w:t>rests of public safety to do so</w:t>
      </w:r>
    </w:p>
    <w:p w:rsidR="00BB2135" w:rsidRDefault="00BB2135" w:rsidP="005F6538">
      <w:pPr>
        <w:pStyle w:val="ListParagraph"/>
        <w:numPr>
          <w:ilvl w:val="0"/>
          <w:numId w:val="14"/>
        </w:numPr>
      </w:pPr>
      <w:r>
        <w:t>The individual is incapable of giving consent (as defined in the Health Records Act 2001)</w:t>
      </w:r>
      <w:r w:rsidR="00C9236C">
        <w:t>.</w:t>
      </w:r>
    </w:p>
    <w:p w:rsidR="008A4CA7" w:rsidRDefault="008A4CA7" w:rsidP="008A4CA7">
      <w:pPr>
        <w:ind w:left="1134"/>
      </w:pPr>
    </w:p>
    <w:p w:rsidR="00AD3287" w:rsidRPr="008A4CA7" w:rsidRDefault="008A4193" w:rsidP="008A4CA7">
      <w:pPr>
        <w:pStyle w:val="Heading2"/>
        <w:ind w:left="1134" w:hanging="708"/>
      </w:pPr>
      <w:bookmarkStart w:id="5" w:name="_Toc442283954"/>
      <w:r w:rsidRPr="008A4CA7">
        <w:t xml:space="preserve">Privacy Principle 3 - </w:t>
      </w:r>
      <w:r w:rsidR="00BB2135" w:rsidRPr="008A4CA7">
        <w:t>Data quality</w:t>
      </w:r>
    </w:p>
    <w:p w:rsidR="00BB2135" w:rsidRDefault="00BB2135" w:rsidP="008A4CA7">
      <w:pPr>
        <w:ind w:left="1134"/>
      </w:pPr>
      <w:r>
        <w:t>Council will take reasonable steps to ensure that all personal and health information collected, used or disclosed is accurate, complete and up to date.</w:t>
      </w:r>
    </w:p>
    <w:p w:rsidR="008A4CA7" w:rsidRDefault="008A4CA7" w:rsidP="008A4CA7">
      <w:pPr>
        <w:ind w:left="1134"/>
      </w:pPr>
    </w:p>
    <w:p w:rsidR="00AD3287" w:rsidRPr="00AD3287" w:rsidRDefault="008A4193" w:rsidP="008A4CA7">
      <w:pPr>
        <w:pStyle w:val="Heading2"/>
        <w:ind w:left="1134" w:hanging="708"/>
      </w:pPr>
      <w:r>
        <w:t>Privacy Principle 4 – Data s</w:t>
      </w:r>
      <w:r w:rsidR="004D0C33">
        <w:t>ecurity</w:t>
      </w:r>
      <w:bookmarkEnd w:id="5"/>
      <w:r w:rsidR="00BB2135">
        <w:t xml:space="preserve"> and retention</w:t>
      </w:r>
    </w:p>
    <w:p w:rsidR="00116A59" w:rsidRDefault="004D0C33" w:rsidP="00E73752">
      <w:pPr>
        <w:ind w:left="1134"/>
      </w:pPr>
      <w:r>
        <w:t xml:space="preserve">Council will </w:t>
      </w:r>
      <w:r w:rsidR="00BB2135">
        <w:t>take all reasonable measures to prevent misuse, loss or unauthorised access, modification or disclosure of personal and health information.</w:t>
      </w:r>
    </w:p>
    <w:p w:rsidR="00BB2135" w:rsidRDefault="00BB2135" w:rsidP="008A4CA7">
      <w:pPr>
        <w:ind w:left="1134"/>
      </w:pPr>
      <w:r>
        <w:t xml:space="preserve">Personal and health information will be managed confidentially and securely and destroyed in accordance with relevant legislation specifically the </w:t>
      </w:r>
      <w:r w:rsidRPr="00C9236C">
        <w:rPr>
          <w:i/>
        </w:rPr>
        <w:t>Public Records Act 1973</w:t>
      </w:r>
      <w:r>
        <w:t xml:space="preserve"> and the</w:t>
      </w:r>
      <w:r w:rsidR="00B86524">
        <w:t xml:space="preserve"> appropriate</w:t>
      </w:r>
      <w:r>
        <w:t xml:space="preserve"> </w:t>
      </w:r>
      <w:r w:rsidRPr="00B86524">
        <w:t xml:space="preserve">General </w:t>
      </w:r>
      <w:r w:rsidR="00B86524" w:rsidRPr="00B86524">
        <w:t xml:space="preserve">Retention and </w:t>
      </w:r>
      <w:r w:rsidRPr="00B86524">
        <w:t xml:space="preserve">Disposal </w:t>
      </w:r>
      <w:r w:rsidR="00B86524">
        <w:t>Authority.</w:t>
      </w:r>
    </w:p>
    <w:p w:rsidR="008A4CA7" w:rsidRDefault="008A4CA7" w:rsidP="008A4CA7">
      <w:pPr>
        <w:ind w:left="1134"/>
      </w:pPr>
    </w:p>
    <w:p w:rsidR="008A4193" w:rsidRDefault="008A4193" w:rsidP="008A4CA7">
      <w:pPr>
        <w:pStyle w:val="Heading2"/>
        <w:ind w:left="1134" w:hanging="708"/>
      </w:pPr>
      <w:bookmarkStart w:id="6" w:name="_Toc442283955"/>
      <w:r>
        <w:t>Privacy Principle 5</w:t>
      </w:r>
      <w:r w:rsidR="008A4CA7">
        <w:t xml:space="preserve"> -</w:t>
      </w:r>
      <w:r>
        <w:t xml:space="preserve"> Openness</w:t>
      </w:r>
    </w:p>
    <w:p w:rsidR="008A4193" w:rsidRDefault="008A4193" w:rsidP="008A4CA7">
      <w:pPr>
        <w:ind w:left="1134"/>
      </w:pPr>
      <w:r>
        <w:t xml:space="preserve">Council will make a copy of this Privacy Policy available </w:t>
      </w:r>
      <w:r w:rsidR="0066263C">
        <w:t xml:space="preserve">for download from </w:t>
      </w:r>
      <w:r>
        <w:t>its website or a copy can be provided on request from Council’s Civic Centre.</w:t>
      </w:r>
    </w:p>
    <w:p w:rsidR="008A4193" w:rsidRDefault="005809DA" w:rsidP="008A4CA7">
      <w:pPr>
        <w:ind w:left="1134"/>
      </w:pPr>
      <w:r>
        <w:t>On request by an individual, Council will take reasonable steps to let the individual know, generally, what sort of personal information it holds, for what purposes, and how it collects, holds uses and discloses that information.</w:t>
      </w:r>
    </w:p>
    <w:p w:rsidR="008A4CA7" w:rsidRPr="008A4193" w:rsidRDefault="008A4CA7" w:rsidP="008A4CA7">
      <w:pPr>
        <w:ind w:left="1134"/>
      </w:pPr>
    </w:p>
    <w:p w:rsidR="004D0C33" w:rsidRPr="008A4CA7" w:rsidRDefault="008A4CA7" w:rsidP="008A4CA7">
      <w:pPr>
        <w:pStyle w:val="Heading2"/>
        <w:ind w:left="1134" w:hanging="708"/>
      </w:pPr>
      <w:r>
        <w:t xml:space="preserve">Privacy Principle 6 - </w:t>
      </w:r>
      <w:r w:rsidR="00C46263" w:rsidRPr="008A4CA7">
        <w:t xml:space="preserve">Access and </w:t>
      </w:r>
      <w:r w:rsidR="00FA140A" w:rsidRPr="008A4CA7">
        <w:t>c</w:t>
      </w:r>
      <w:r w:rsidR="00C46263" w:rsidRPr="008A4CA7">
        <w:t>orrection</w:t>
      </w:r>
      <w:bookmarkEnd w:id="6"/>
    </w:p>
    <w:p w:rsidR="00FA140A" w:rsidRDefault="00FA140A" w:rsidP="008A4CA7">
      <w:pPr>
        <w:ind w:left="1134"/>
      </w:pPr>
      <w:r>
        <w:t>Individuals have a right to request access to any personal or health information held about them</w:t>
      </w:r>
      <w:r w:rsidR="00C9236C">
        <w:t xml:space="preserve"> by Council</w:t>
      </w:r>
      <w:r>
        <w:t xml:space="preserve">.  If an individual believes that their information is inaccurate, incomplete or out of date, they may request Council to correct it.  </w:t>
      </w:r>
    </w:p>
    <w:p w:rsidR="00116A59" w:rsidRDefault="00116A59" w:rsidP="008A4CA7">
      <w:pPr>
        <w:ind w:left="1134"/>
      </w:pPr>
    </w:p>
    <w:p w:rsidR="008A4CA7" w:rsidRDefault="00250EEC" w:rsidP="008A4CA7">
      <w:pPr>
        <w:ind w:left="1134"/>
      </w:pPr>
      <w:r>
        <w:lastRenderedPageBreak/>
        <w:t xml:space="preserve">Council can deny access to personal and health information in accordance with the exemptions detailed in the Privacy and Data Protection Act 2014 and the Health Records Act 2001. </w:t>
      </w:r>
    </w:p>
    <w:p w:rsidR="008A4CA7" w:rsidRDefault="008A4CA7" w:rsidP="008A4CA7">
      <w:pPr>
        <w:ind w:left="1134"/>
      </w:pPr>
    </w:p>
    <w:p w:rsidR="00250EEC" w:rsidRDefault="00250EEC" w:rsidP="008A4CA7">
      <w:pPr>
        <w:ind w:left="1134"/>
      </w:pPr>
      <w:r>
        <w:t>Examples of why Council might deny access</w:t>
      </w:r>
      <w:r w:rsidR="004F4182">
        <w:t xml:space="preserve"> to the information</w:t>
      </w:r>
      <w:r>
        <w:t xml:space="preserve"> include: </w:t>
      </w:r>
    </w:p>
    <w:p w:rsidR="00250EEC" w:rsidRDefault="00250EEC" w:rsidP="005F6538">
      <w:pPr>
        <w:pStyle w:val="ListParagraph"/>
        <w:numPr>
          <w:ilvl w:val="0"/>
          <w:numId w:val="15"/>
        </w:numPr>
      </w:pPr>
      <w:r>
        <w:t>The matter relates to legal proceedings</w:t>
      </w:r>
      <w:r w:rsidR="004F4182" w:rsidRPr="004F4182">
        <w:t xml:space="preserve"> </w:t>
      </w:r>
      <w:r w:rsidR="004F4182">
        <w:t xml:space="preserve">and the </w:t>
      </w:r>
      <w:r w:rsidR="004F4182" w:rsidRPr="008C769A">
        <w:rPr>
          <w:i/>
        </w:rPr>
        <w:t>Freedom of Information Act 1982</w:t>
      </w:r>
      <w:r w:rsidR="004F4182">
        <w:t xml:space="preserve"> applies</w:t>
      </w:r>
    </w:p>
    <w:p w:rsidR="00250EEC" w:rsidRDefault="00250EEC" w:rsidP="005F6538">
      <w:pPr>
        <w:pStyle w:val="ListParagraph"/>
        <w:numPr>
          <w:ilvl w:val="0"/>
          <w:numId w:val="15"/>
        </w:numPr>
      </w:pPr>
      <w:r>
        <w:t>The release would pose a ser</w:t>
      </w:r>
      <w:r w:rsidR="00853A3E">
        <w:t>ious threat to life or health of</w:t>
      </w:r>
      <w:r>
        <w:t xml:space="preserve"> any person</w:t>
      </w:r>
    </w:p>
    <w:p w:rsidR="00250EEC" w:rsidRDefault="004F4182" w:rsidP="005F6538">
      <w:pPr>
        <w:pStyle w:val="ListParagraph"/>
        <w:numPr>
          <w:ilvl w:val="0"/>
          <w:numId w:val="15"/>
        </w:numPr>
      </w:pPr>
      <w:r>
        <w:t>The i</w:t>
      </w:r>
      <w:r w:rsidR="00250EEC">
        <w:t xml:space="preserve">nformation is classified </w:t>
      </w:r>
      <w:r>
        <w:t>confidential.</w:t>
      </w:r>
    </w:p>
    <w:p w:rsidR="00250EEC" w:rsidRDefault="004F4182" w:rsidP="008A4CA7">
      <w:pPr>
        <w:ind w:left="1134"/>
      </w:pPr>
      <w:r>
        <w:t xml:space="preserve">Where Council denies an individual access to their information it will </w:t>
      </w:r>
      <w:r w:rsidR="00250EEC">
        <w:t xml:space="preserve">advise the individual </w:t>
      </w:r>
      <w:r>
        <w:t>of the reasons for the denial</w:t>
      </w:r>
      <w:r w:rsidR="00250EEC">
        <w:t xml:space="preserve"> as soon as practicable.</w:t>
      </w:r>
    </w:p>
    <w:p w:rsidR="008A4CA7" w:rsidRDefault="008A4CA7" w:rsidP="008A4CA7">
      <w:pPr>
        <w:ind w:left="1134"/>
      </w:pPr>
    </w:p>
    <w:p w:rsidR="008A4CA7" w:rsidRDefault="008A4CA7" w:rsidP="00FD0D39">
      <w:pPr>
        <w:pStyle w:val="Heading2"/>
        <w:ind w:left="1134" w:hanging="708"/>
      </w:pPr>
      <w:bookmarkStart w:id="7" w:name="_Toc442283956"/>
      <w:r>
        <w:t>Privacy Principle 7 – Unique Identifiers</w:t>
      </w:r>
    </w:p>
    <w:p w:rsidR="00A905CF" w:rsidRDefault="008A4CA7" w:rsidP="00FD0D39">
      <w:pPr>
        <w:ind w:left="1134"/>
      </w:pPr>
      <w:r>
        <w:t xml:space="preserve">Council will not assign, adopt, use or disclose or require unique identifiers from individuals unless it is necessary to enable Council to carry out any of its </w:t>
      </w:r>
      <w:r w:rsidRPr="00E73752">
        <w:t>functions</w:t>
      </w:r>
      <w:r w:rsidR="005809DA" w:rsidRPr="00E73752">
        <w:t>.</w:t>
      </w:r>
      <w:r>
        <w:t xml:space="preserve">  </w:t>
      </w:r>
    </w:p>
    <w:p w:rsidR="008A4CA7" w:rsidRDefault="008A4CA7" w:rsidP="00FD0D39">
      <w:pPr>
        <w:ind w:left="1134"/>
      </w:pPr>
      <w:r>
        <w:t>Council will only use or disclose unique identifie</w:t>
      </w:r>
      <w:r w:rsidR="00A905CF">
        <w:t xml:space="preserve">rs assigned to </w:t>
      </w:r>
      <w:r w:rsidR="005809DA">
        <w:t xml:space="preserve">an </w:t>
      </w:r>
      <w:r w:rsidR="00A905CF">
        <w:t xml:space="preserve">individual by another organisation </w:t>
      </w:r>
      <w:r w:rsidR="005809DA">
        <w:t xml:space="preserve">(such as a driver’s licence number, a passport number or a Medicare card number) if it is required in order for Council to carry out its functions </w:t>
      </w:r>
      <w:r w:rsidR="005809DA" w:rsidRPr="00E73752">
        <w:t>or</w:t>
      </w:r>
      <w:r w:rsidR="005809DA">
        <w:t xml:space="preserve"> where it has obtained the consent of the individual to use and disclose this information.</w:t>
      </w:r>
      <w:r w:rsidR="00A905CF">
        <w:t xml:space="preserve"> </w:t>
      </w:r>
    </w:p>
    <w:p w:rsidR="00A905CF" w:rsidRPr="008A4CA7" w:rsidRDefault="00A905CF" w:rsidP="008A4CA7"/>
    <w:p w:rsidR="00AD3287" w:rsidRPr="00AD3287" w:rsidRDefault="00A905CF" w:rsidP="00FD0D39">
      <w:pPr>
        <w:pStyle w:val="Heading2"/>
        <w:ind w:left="1134" w:hanging="708"/>
      </w:pPr>
      <w:r>
        <w:t xml:space="preserve">Privacy Principle 8 - </w:t>
      </w:r>
      <w:r w:rsidR="008C769A">
        <w:t>Anonymity</w:t>
      </w:r>
      <w:bookmarkEnd w:id="7"/>
    </w:p>
    <w:p w:rsidR="00FA140A" w:rsidRDefault="00FA140A" w:rsidP="00FD0D39">
      <w:pPr>
        <w:ind w:left="1134"/>
      </w:pPr>
      <w:r>
        <w:t xml:space="preserve">Council will, where it is lawful and practicable, give individuals the option of not identifying themselves when entering into transactions with Council.  </w:t>
      </w:r>
      <w:bookmarkStart w:id="8" w:name="_Toc442283957"/>
    </w:p>
    <w:p w:rsidR="00250EEC" w:rsidRDefault="00250EEC" w:rsidP="00FD0D39">
      <w:pPr>
        <w:ind w:left="1134"/>
      </w:pPr>
      <w:r>
        <w:t xml:space="preserve">Council will ensure that individuals are aware of </w:t>
      </w:r>
      <w:r w:rsidR="008676C2">
        <w:t xml:space="preserve">any </w:t>
      </w:r>
      <w:r>
        <w:t>limitations to services if the inform</w:t>
      </w:r>
      <w:r w:rsidR="008676C2">
        <w:t xml:space="preserve">ation requested </w:t>
      </w:r>
      <w:r>
        <w:t>is not provided.</w:t>
      </w:r>
      <w:r w:rsidR="008676C2">
        <w:t xml:space="preserve">  For example, Council cannot send an eNewsletter if an individual does not provide their email address in the online registration form.</w:t>
      </w:r>
    </w:p>
    <w:p w:rsidR="00A905CF" w:rsidRDefault="00A905CF" w:rsidP="00A905CF">
      <w:pPr>
        <w:ind w:left="851"/>
      </w:pPr>
    </w:p>
    <w:p w:rsidR="00A905CF" w:rsidRDefault="00A905CF" w:rsidP="00FD0D39">
      <w:pPr>
        <w:pStyle w:val="Heading2"/>
        <w:ind w:left="1134" w:hanging="567"/>
      </w:pPr>
      <w:bookmarkStart w:id="9" w:name="_Toc442283958"/>
      <w:bookmarkEnd w:id="8"/>
      <w:r w:rsidRPr="00A905CF">
        <w:t>Privacy Principle 9 – Trans-border data flows</w:t>
      </w:r>
    </w:p>
    <w:p w:rsidR="00A905CF" w:rsidRDefault="00A905CF" w:rsidP="00FD0D39">
      <w:pPr>
        <w:ind w:left="1134"/>
      </w:pPr>
      <w:r>
        <w:t xml:space="preserve">Council will only transfer personal or health information outside of Victoria in accordance with the provisions outlined in the Privacy and Data Protection Act 2014 and the Health Records Act 2001.  For example Council </w:t>
      </w:r>
      <w:r w:rsidR="00595645">
        <w:t xml:space="preserve">may use cloud computing services based outside Victoria, however it will need to </w:t>
      </w:r>
      <w:r w:rsidR="00713E8C">
        <w:t xml:space="preserve">take reasonable steps to ensure that the information which it transfer will not be held, used or disclosed by the host of the information inconsistently with </w:t>
      </w:r>
      <w:r w:rsidR="00595645">
        <w:t>the Victorian Information Privacy Principles and Health Privacy Principles.</w:t>
      </w:r>
    </w:p>
    <w:p w:rsidR="00595645" w:rsidRPr="00A905CF" w:rsidRDefault="00595645" w:rsidP="00595645">
      <w:pPr>
        <w:ind w:left="851"/>
      </w:pPr>
    </w:p>
    <w:p w:rsidR="00A905CF" w:rsidRDefault="00595645" w:rsidP="00FD0D39">
      <w:pPr>
        <w:pStyle w:val="Heading2"/>
        <w:ind w:left="1134" w:hanging="567"/>
      </w:pPr>
      <w:r w:rsidRPr="00595645">
        <w:lastRenderedPageBreak/>
        <w:t>Privacy Principle 10 – Sensitive Information</w:t>
      </w:r>
    </w:p>
    <w:p w:rsidR="00595645" w:rsidRDefault="00595645" w:rsidP="00FD0D39">
      <w:pPr>
        <w:ind w:left="1134"/>
      </w:pPr>
      <w:r>
        <w:t>Council will not collect sensitive information about an individual unless:</w:t>
      </w:r>
    </w:p>
    <w:p w:rsidR="00595645" w:rsidRDefault="00595645" w:rsidP="00FD0D39">
      <w:pPr>
        <w:pStyle w:val="ListParagraph"/>
        <w:numPr>
          <w:ilvl w:val="0"/>
          <w:numId w:val="13"/>
        </w:numPr>
      </w:pPr>
      <w:r>
        <w:t>The individual has provided this information knowingly and with their consent</w:t>
      </w:r>
    </w:p>
    <w:p w:rsidR="00595645" w:rsidRDefault="00595645" w:rsidP="00FD0D39">
      <w:pPr>
        <w:pStyle w:val="ListParagraph"/>
        <w:numPr>
          <w:ilvl w:val="0"/>
          <w:numId w:val="13"/>
        </w:numPr>
      </w:pPr>
      <w:r>
        <w:t>The information is necessary for Council to carry out its functions and/or activities</w:t>
      </w:r>
    </w:p>
    <w:p w:rsidR="00595645" w:rsidRDefault="00595645" w:rsidP="00FD0D39">
      <w:pPr>
        <w:pStyle w:val="ListParagraph"/>
        <w:numPr>
          <w:ilvl w:val="0"/>
          <w:numId w:val="13"/>
        </w:numPr>
      </w:pPr>
      <w:r>
        <w:t xml:space="preserve">The information is required for research or statistical purposes </w:t>
      </w:r>
      <w:r w:rsidR="00713E8C">
        <w:t>relevant to government funded targeted welfare or educational services.</w:t>
      </w:r>
    </w:p>
    <w:p w:rsidR="00FD0D39" w:rsidRDefault="00FD0D39" w:rsidP="00FD0D39">
      <w:pPr>
        <w:pStyle w:val="ListParagraph"/>
        <w:numPr>
          <w:ilvl w:val="0"/>
          <w:numId w:val="13"/>
        </w:numPr>
      </w:pPr>
      <w:r>
        <w:t>The disclosure is authorised by law.</w:t>
      </w:r>
    </w:p>
    <w:p w:rsidR="00FD0D39" w:rsidRPr="00595645" w:rsidRDefault="00FD0D39" w:rsidP="00FD0D39">
      <w:pPr>
        <w:ind w:left="851"/>
      </w:pPr>
    </w:p>
    <w:p w:rsidR="00FD0D39" w:rsidRDefault="00FD0D39" w:rsidP="00FD0D39">
      <w:pPr>
        <w:pStyle w:val="Heading2"/>
        <w:ind w:left="1134" w:hanging="708"/>
      </w:pPr>
      <w:r w:rsidRPr="00FD0D39">
        <w:t>Health Privacy Principles 10 and 11 – Health service provider changes</w:t>
      </w:r>
    </w:p>
    <w:p w:rsidR="00FD0D39" w:rsidRDefault="00FD0D39" w:rsidP="00FD0D39">
      <w:pPr>
        <w:ind w:left="1134"/>
      </w:pPr>
      <w:r>
        <w:t xml:space="preserve">Council’s Health Services will provide health information to other health providers in accordance with the </w:t>
      </w:r>
      <w:r w:rsidRPr="00116A59">
        <w:rPr>
          <w:i/>
        </w:rPr>
        <w:t>Health Records Act 2001</w:t>
      </w:r>
      <w:r>
        <w:t xml:space="preserve">.  </w:t>
      </w:r>
    </w:p>
    <w:p w:rsidR="00FD0D39" w:rsidRDefault="00FD0D39" w:rsidP="00FD0D39">
      <w:pPr>
        <w:ind w:left="1134"/>
      </w:pPr>
      <w:r>
        <w:t xml:space="preserve">Health information relating to a discontinued Council Health Service will be managed in accordance with the </w:t>
      </w:r>
      <w:r w:rsidRPr="00116A59">
        <w:rPr>
          <w:i/>
        </w:rPr>
        <w:t>Health Records Act 2001</w:t>
      </w:r>
      <w:r>
        <w:t>.</w:t>
      </w:r>
    </w:p>
    <w:p w:rsidR="00AD3287" w:rsidRPr="00AD3287" w:rsidRDefault="008C769A" w:rsidP="00AD3287">
      <w:pPr>
        <w:pStyle w:val="Heading1"/>
      </w:pPr>
      <w:r>
        <w:t xml:space="preserve">External </w:t>
      </w:r>
      <w:r w:rsidR="004F4182">
        <w:t>c</w:t>
      </w:r>
      <w:r>
        <w:t>ontractors</w:t>
      </w:r>
      <w:bookmarkEnd w:id="9"/>
    </w:p>
    <w:p w:rsidR="00C9236C" w:rsidRDefault="00A40871" w:rsidP="00B95B54">
      <w:pPr>
        <w:ind w:left="432"/>
      </w:pPr>
      <w:r>
        <w:t xml:space="preserve">Council may disclose personal information it has collected about an individual where it is necessary </w:t>
      </w:r>
      <w:r w:rsidR="00C9236C">
        <w:t xml:space="preserve">for a third party, such as a </w:t>
      </w:r>
      <w:r>
        <w:t xml:space="preserve">contractor to carry out a </w:t>
      </w:r>
      <w:r w:rsidR="00C9236C">
        <w:t xml:space="preserve">specific job or task. </w:t>
      </w:r>
      <w:r>
        <w:t xml:space="preserve">  For example personal information is passed onto a contractor</w:t>
      </w:r>
      <w:r w:rsidR="00C9236C">
        <w:t xml:space="preserve"> by Council</w:t>
      </w:r>
      <w:r>
        <w:t xml:space="preserve"> for the purposes of a hard waste kerbside collection.  </w:t>
      </w:r>
    </w:p>
    <w:p w:rsidR="00AD3287" w:rsidRPr="00AD3287" w:rsidRDefault="00A40871" w:rsidP="00725EAC">
      <w:pPr>
        <w:ind w:left="432"/>
      </w:pPr>
      <w:r>
        <w:t xml:space="preserve">Similarly, contractors may </w:t>
      </w:r>
      <w:r w:rsidR="004D0C33">
        <w:t xml:space="preserve">collect, use or disclose </w:t>
      </w:r>
      <w:r>
        <w:t>personal information about an individual during the course of their duties such as in the case of a contracted Maternal and Child Health nurse</w:t>
      </w:r>
      <w:r w:rsidR="004D0C33">
        <w:t xml:space="preserve">.  </w:t>
      </w:r>
      <w:r w:rsidR="00844863">
        <w:t>Council requires</w:t>
      </w:r>
      <w:r>
        <w:t xml:space="preserve"> all</w:t>
      </w:r>
      <w:r w:rsidR="004D0C33">
        <w:t xml:space="preserve"> contractors to comply </w:t>
      </w:r>
      <w:r>
        <w:t xml:space="preserve">fully </w:t>
      </w:r>
      <w:r w:rsidR="004D0C33">
        <w:t xml:space="preserve">with </w:t>
      </w:r>
      <w:r>
        <w:t xml:space="preserve">the requirements of both the </w:t>
      </w:r>
      <w:r w:rsidRPr="00C9236C">
        <w:t>Privacy and Data Protection Act 2014 and the Health Records Act 2001.</w:t>
      </w:r>
      <w:bookmarkStart w:id="10" w:name="_Toc442283959"/>
    </w:p>
    <w:bookmarkEnd w:id="10"/>
    <w:p w:rsidR="004D0C33" w:rsidRDefault="00575693" w:rsidP="00575693">
      <w:pPr>
        <w:pStyle w:val="Heading1"/>
        <w:ind w:right="-257"/>
      </w:pPr>
      <w:r>
        <w:t>What to do if you believe your personal information has been mishandled</w:t>
      </w:r>
    </w:p>
    <w:p w:rsidR="009D161C" w:rsidRDefault="004D0C33" w:rsidP="009D161C">
      <w:pPr>
        <w:ind w:left="432"/>
      </w:pPr>
      <w:r>
        <w:t xml:space="preserve">If an individual feels aggrieved by Council’s </w:t>
      </w:r>
      <w:r w:rsidR="00896DE3">
        <w:t xml:space="preserve">collection or </w:t>
      </w:r>
      <w:r>
        <w:t>handling of their personal</w:t>
      </w:r>
      <w:r w:rsidR="00844863">
        <w:t xml:space="preserve"> information, he or </w:t>
      </w:r>
      <w:r>
        <w:t xml:space="preserve">she can make a complaint to Council’s Privacy Officer </w:t>
      </w:r>
      <w:r w:rsidR="009D161C">
        <w:t>by calling</w:t>
      </w:r>
      <w:r>
        <w:t xml:space="preserve"> 9932 1047</w:t>
      </w:r>
      <w:r w:rsidR="009D161C">
        <w:t xml:space="preserve"> or by sending written correspondence attention to the Privacy Officer at Hobsons Bay City Council, PO Box 21, Altona, 3018</w:t>
      </w:r>
      <w:r>
        <w:t xml:space="preserve">.  The complaint will be investigated </w:t>
      </w:r>
      <w:r w:rsidR="00844863">
        <w:t xml:space="preserve">within five business days </w:t>
      </w:r>
      <w:r>
        <w:t>and a written response will be provided</w:t>
      </w:r>
      <w:r w:rsidR="00844863">
        <w:t>.</w:t>
      </w:r>
      <w:r w:rsidR="00896DE3">
        <w:t xml:space="preserve">  </w:t>
      </w:r>
    </w:p>
    <w:p w:rsidR="009D161C" w:rsidRDefault="00896DE3" w:rsidP="009D161C">
      <w:pPr>
        <w:ind w:left="432"/>
      </w:pPr>
      <w:r>
        <w:t>Alternatively,</w:t>
      </w:r>
      <w:r w:rsidR="004D0C33">
        <w:t xml:space="preserve"> a complaint </w:t>
      </w:r>
      <w:r>
        <w:t xml:space="preserve">can be made </w:t>
      </w:r>
      <w:r w:rsidR="004D0C33">
        <w:t xml:space="preserve">to the Commissioner for </w:t>
      </w:r>
      <w:r>
        <w:t>Privacy and Data Protection or the</w:t>
      </w:r>
      <w:r w:rsidR="004D0C33">
        <w:t xml:space="preserve"> Health Services Commissioner </w:t>
      </w:r>
      <w:r w:rsidR="00C9236C">
        <w:t xml:space="preserve">however </w:t>
      </w:r>
      <w:r>
        <w:t>the Commissioner may decline to hear the</w:t>
      </w:r>
      <w:r w:rsidR="009D161C">
        <w:t xml:space="preserve"> complaint</w:t>
      </w:r>
      <w:r>
        <w:t xml:space="preserve"> </w:t>
      </w:r>
      <w:bookmarkStart w:id="11" w:name="_Toc442283960"/>
      <w:r w:rsidR="009D161C">
        <w:t>if the individual has not mad</w:t>
      </w:r>
      <w:r w:rsidR="004A64FB">
        <w:t>e a complaint to Council first.</w:t>
      </w:r>
    </w:p>
    <w:p w:rsidR="009D161C" w:rsidRDefault="009D161C" w:rsidP="009D161C">
      <w:pPr>
        <w:pStyle w:val="Heading1"/>
      </w:pPr>
      <w:r>
        <w:lastRenderedPageBreak/>
        <w:t>Staff training and awareness</w:t>
      </w:r>
    </w:p>
    <w:p w:rsidR="0009759A" w:rsidRDefault="009D161C" w:rsidP="0009759A">
      <w:pPr>
        <w:ind w:left="432"/>
      </w:pPr>
      <w:r>
        <w:t>All Council employees</w:t>
      </w:r>
      <w:r w:rsidR="00E86B8D">
        <w:t xml:space="preserve">, including contractors, </w:t>
      </w:r>
      <w:r w:rsidR="0009759A">
        <w:t>are required to attend a privacy awareness training</w:t>
      </w:r>
      <w:r>
        <w:t xml:space="preserve"> </w:t>
      </w:r>
      <w:r w:rsidR="0009759A">
        <w:t xml:space="preserve">session as part of their induction into the organisation.  </w:t>
      </w:r>
      <w:r w:rsidR="00AD3287">
        <w:t>Existing staff members</w:t>
      </w:r>
      <w:r w:rsidR="0009759A">
        <w:t xml:space="preserve"> are required to attend a refresher session every three years.</w:t>
      </w:r>
      <w:r w:rsidR="00AD3287">
        <w:t xml:space="preserve">  </w:t>
      </w:r>
    </w:p>
    <w:p w:rsidR="0009759A" w:rsidRDefault="0009759A" w:rsidP="0009759A">
      <w:pPr>
        <w:ind w:left="432"/>
      </w:pPr>
      <w:r>
        <w:t xml:space="preserve">The Employee Code of Conduct specifically addresses the issue of </w:t>
      </w:r>
      <w:r w:rsidRPr="0009759A">
        <w:rPr>
          <w:i/>
        </w:rPr>
        <w:t>Privacy and Protection of Information</w:t>
      </w:r>
      <w:r>
        <w:t xml:space="preserve"> (page 24) as well as </w:t>
      </w:r>
      <w:r w:rsidRPr="0009759A">
        <w:rPr>
          <w:i/>
        </w:rPr>
        <w:t xml:space="preserve">Confidentiality </w:t>
      </w:r>
      <w:r>
        <w:t>of information (Page 14).  All staff are given a copy of the Code when the</w:t>
      </w:r>
      <w:r w:rsidR="00E63571">
        <w:t>y</w:t>
      </w:r>
      <w:r w:rsidR="00AD3287">
        <w:t xml:space="preserve"> commence with the Council as part of their induction package.</w:t>
      </w:r>
    </w:p>
    <w:p w:rsidR="0009759A" w:rsidRDefault="0009759A" w:rsidP="0009759A">
      <w:pPr>
        <w:ind w:left="432"/>
      </w:pPr>
      <w:r>
        <w:t>A copy of the Council’s Privacy Policy is available on both the intranet and Council’s website.</w:t>
      </w:r>
    </w:p>
    <w:p w:rsidR="0009759A" w:rsidRDefault="0009759A" w:rsidP="009D161C">
      <w:pPr>
        <w:pStyle w:val="Heading1"/>
      </w:pPr>
      <w:r>
        <w:t>Related documents</w:t>
      </w:r>
    </w:p>
    <w:p w:rsidR="0009759A" w:rsidRDefault="0009759A" w:rsidP="00723AF2">
      <w:pPr>
        <w:pStyle w:val="ListParagraph"/>
        <w:numPr>
          <w:ilvl w:val="0"/>
          <w:numId w:val="16"/>
        </w:numPr>
      </w:pPr>
      <w:r>
        <w:t>Privacy and Data Protection Act 2014</w:t>
      </w:r>
    </w:p>
    <w:p w:rsidR="0009759A" w:rsidRDefault="0009759A" w:rsidP="00723AF2">
      <w:pPr>
        <w:pStyle w:val="ListParagraph"/>
        <w:numPr>
          <w:ilvl w:val="0"/>
          <w:numId w:val="16"/>
        </w:numPr>
      </w:pPr>
      <w:r>
        <w:t>Health Records Act 2001</w:t>
      </w:r>
    </w:p>
    <w:p w:rsidR="0009759A" w:rsidRDefault="0009759A" w:rsidP="00723AF2">
      <w:pPr>
        <w:pStyle w:val="ListParagraph"/>
        <w:numPr>
          <w:ilvl w:val="0"/>
          <w:numId w:val="16"/>
        </w:numPr>
      </w:pPr>
      <w:r>
        <w:t>Local Government Act 1989</w:t>
      </w:r>
    </w:p>
    <w:p w:rsidR="0009759A" w:rsidRDefault="0009759A" w:rsidP="00723AF2">
      <w:pPr>
        <w:pStyle w:val="ListParagraph"/>
        <w:numPr>
          <w:ilvl w:val="0"/>
          <w:numId w:val="16"/>
        </w:numPr>
      </w:pPr>
      <w:r>
        <w:t>Freedom of Information Act 1982</w:t>
      </w:r>
    </w:p>
    <w:p w:rsidR="0009759A" w:rsidRDefault="0009759A" w:rsidP="00723AF2">
      <w:pPr>
        <w:pStyle w:val="ListParagraph"/>
        <w:numPr>
          <w:ilvl w:val="0"/>
          <w:numId w:val="16"/>
        </w:numPr>
      </w:pPr>
      <w:r>
        <w:t>Public Records Act 1973</w:t>
      </w:r>
    </w:p>
    <w:p w:rsidR="0009759A" w:rsidRDefault="0009759A" w:rsidP="00723AF2">
      <w:pPr>
        <w:pStyle w:val="ListParagraph"/>
        <w:numPr>
          <w:ilvl w:val="0"/>
          <w:numId w:val="16"/>
        </w:numPr>
      </w:pPr>
      <w:r>
        <w:t>Employee Code of Conduct (October 2014)</w:t>
      </w:r>
    </w:p>
    <w:p w:rsidR="003E602B" w:rsidRDefault="003E602B" w:rsidP="00723AF2">
      <w:pPr>
        <w:pStyle w:val="ListParagraph"/>
        <w:numPr>
          <w:ilvl w:val="0"/>
          <w:numId w:val="16"/>
        </w:numPr>
      </w:pPr>
      <w:r>
        <w:t xml:space="preserve">2015-2016 Records Management Policy </w:t>
      </w:r>
    </w:p>
    <w:p w:rsidR="004D0C33" w:rsidRDefault="009D161C" w:rsidP="0009759A">
      <w:pPr>
        <w:pStyle w:val="Heading1"/>
      </w:pPr>
      <w:r>
        <w:t>Changes</w:t>
      </w:r>
      <w:bookmarkEnd w:id="11"/>
      <w:r w:rsidR="00725EAC">
        <w:t xml:space="preserve"> and review</w:t>
      </w:r>
    </w:p>
    <w:p w:rsidR="009D161C" w:rsidRDefault="004D0C33" w:rsidP="009D161C">
      <w:pPr>
        <w:ind w:left="432"/>
      </w:pPr>
      <w:r>
        <w:t xml:space="preserve">Council may amend this Privacy </w:t>
      </w:r>
      <w:r w:rsidR="00A47BDA">
        <w:t>Policy from time to time</w:t>
      </w:r>
      <w:r w:rsidR="00844863">
        <w:t xml:space="preserve"> to reflect changes in the legislation</w:t>
      </w:r>
      <w:r w:rsidR="00A47BDA">
        <w:t>.</w:t>
      </w:r>
    </w:p>
    <w:p w:rsidR="00725EAC" w:rsidRDefault="00725EAC" w:rsidP="009D161C">
      <w:pPr>
        <w:ind w:left="432"/>
      </w:pPr>
      <w:r>
        <w:t>Council will review this Policy two years after its adoption date by CMT.</w:t>
      </w:r>
    </w:p>
    <w:p w:rsidR="004D0C33" w:rsidRDefault="00572B65" w:rsidP="00572B65">
      <w:pPr>
        <w:pStyle w:val="Heading1"/>
      </w:pPr>
      <w:bookmarkStart w:id="12" w:name="_Toc442283961"/>
      <w:r>
        <w:t>Further Information</w:t>
      </w:r>
      <w:bookmarkEnd w:id="12"/>
    </w:p>
    <w:p w:rsidR="00B5574E" w:rsidRDefault="004D0C33" w:rsidP="00B95B54">
      <w:pPr>
        <w:ind w:left="432"/>
      </w:pPr>
      <w:r>
        <w:t xml:space="preserve">If an individual has any queries about this Privacy Policy </w:t>
      </w:r>
      <w:r w:rsidR="00844863">
        <w:t xml:space="preserve">contact should be made with the </w:t>
      </w:r>
      <w:r>
        <w:t>Council’s Privacy Officer on telephone 9932 1047.</w:t>
      </w:r>
    </w:p>
    <w:p w:rsidR="00725EAC" w:rsidRDefault="00725EAC">
      <w:pPr>
        <w:spacing w:after="200"/>
      </w:pPr>
      <w:bookmarkStart w:id="13" w:name="_Toc442283962"/>
      <w:r>
        <w:br w:type="page"/>
      </w:r>
    </w:p>
    <w:p w:rsidR="003E602B" w:rsidRDefault="003E602B" w:rsidP="003E602B"/>
    <w:p w:rsidR="00F21BA7" w:rsidRPr="003E602B" w:rsidRDefault="003E602B" w:rsidP="003E602B">
      <w:pPr>
        <w:rPr>
          <w:b/>
          <w:sz w:val="24"/>
          <w:szCs w:val="24"/>
        </w:rPr>
      </w:pPr>
      <w:r w:rsidRPr="003E602B">
        <w:rPr>
          <w:b/>
          <w:sz w:val="24"/>
          <w:szCs w:val="24"/>
        </w:rPr>
        <w:t>A</w:t>
      </w:r>
      <w:r w:rsidR="00B66AEF" w:rsidRPr="003E602B">
        <w:rPr>
          <w:b/>
          <w:sz w:val="24"/>
          <w:szCs w:val="24"/>
        </w:rPr>
        <w:t>ppendix A</w:t>
      </w:r>
      <w:bookmarkEnd w:id="13"/>
    </w:p>
    <w:p w:rsidR="00572B65" w:rsidRPr="003E602B" w:rsidRDefault="00572B65" w:rsidP="00572B65">
      <w:pPr>
        <w:spacing w:after="0"/>
        <w:ind w:left="567" w:hanging="567"/>
        <w:rPr>
          <w:rFonts w:ascii="Arial" w:hAnsi="Arial" w:cs="Arial"/>
          <w:b/>
          <w:sz w:val="24"/>
          <w:szCs w:val="24"/>
        </w:rPr>
      </w:pPr>
      <w:r w:rsidRPr="003E602B">
        <w:rPr>
          <w:rFonts w:ascii="Arial" w:hAnsi="Arial" w:cs="Arial"/>
          <w:b/>
          <w:sz w:val="24"/>
          <w:szCs w:val="24"/>
        </w:rPr>
        <w:t>INFORMATION PRIVACY PRINCIPLES (IPP’s)</w:t>
      </w:r>
    </w:p>
    <w:p w:rsidR="00572B65" w:rsidRDefault="00572B65" w:rsidP="00572B65">
      <w:pPr>
        <w:ind w:left="567" w:hanging="567"/>
        <w:rPr>
          <w:rFonts w:ascii="Arial" w:hAnsi="Arial" w:cs="Arial"/>
          <w:sz w:val="24"/>
          <w:szCs w:val="24"/>
        </w:rPr>
      </w:pPr>
      <w:r w:rsidRPr="003E602B">
        <w:rPr>
          <w:rFonts w:ascii="Arial" w:hAnsi="Arial" w:cs="Arial"/>
          <w:i/>
          <w:sz w:val="24"/>
          <w:szCs w:val="24"/>
        </w:rPr>
        <w:t xml:space="preserve">Privacy and Data Protection Act 2014 </w:t>
      </w:r>
      <w:r w:rsidRPr="003E602B">
        <w:rPr>
          <w:rFonts w:ascii="Arial" w:hAnsi="Arial" w:cs="Arial"/>
          <w:sz w:val="24"/>
          <w:szCs w:val="24"/>
        </w:rPr>
        <w:t>(Vic)</w:t>
      </w:r>
    </w:p>
    <w:p w:rsidR="003E602B" w:rsidRPr="003E602B" w:rsidRDefault="003E602B" w:rsidP="00572B65">
      <w:pPr>
        <w:ind w:left="567" w:hanging="567"/>
        <w:rPr>
          <w:rFonts w:ascii="Arial" w:hAnsi="Arial" w:cs="Arial"/>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709"/>
        <w:gridCol w:w="6520"/>
      </w:tblGrid>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No.</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Subject</w:t>
            </w:r>
          </w:p>
        </w:tc>
        <w:tc>
          <w:tcPr>
            <w:tcW w:w="709" w:type="dxa"/>
          </w:tcPr>
          <w:p w:rsidR="00572B65" w:rsidRPr="00C4168E" w:rsidRDefault="00572B65" w:rsidP="00844863">
            <w:pPr>
              <w:spacing w:after="0" w:line="240" w:lineRule="auto"/>
              <w:rPr>
                <w:rFonts w:asciiTheme="minorHAnsi" w:hAnsiTheme="minorHAnsi" w:cs="Arial"/>
                <w:sz w:val="20"/>
                <w:szCs w:val="20"/>
              </w:rPr>
            </w:pPr>
          </w:p>
        </w:tc>
        <w:tc>
          <w:tcPr>
            <w:tcW w:w="6520"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Key Principles</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1.</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Collection</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1.1</w:t>
            </w: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1.3</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(including a person) must not collect personal information about an individual unless the information is necessary for one or more of its functions or activities</w:t>
            </w:r>
          </w:p>
          <w:p w:rsidR="00572B65" w:rsidRPr="00C4168E" w:rsidRDefault="00572B65" w:rsidP="00844863">
            <w:pPr>
              <w:autoSpaceDE w:val="0"/>
              <w:autoSpaceDN w:val="0"/>
              <w:adjustRightInd w:val="0"/>
              <w:spacing w:after="0" w:line="240" w:lineRule="auto"/>
              <w:rPr>
                <w:rFonts w:asciiTheme="minorHAnsi" w:hAnsiTheme="minorHAnsi" w:cs="Arial"/>
                <w:sz w:val="20"/>
                <w:szCs w:val="20"/>
              </w:rPr>
            </w:pPr>
            <w:r w:rsidRPr="00C4168E">
              <w:rPr>
                <w:rFonts w:asciiTheme="minorHAnsi" w:hAnsiTheme="minorHAnsi" w:cs="Arial"/>
                <w:sz w:val="20"/>
                <w:szCs w:val="20"/>
                <w:lang w:eastAsia="en-AU"/>
              </w:rPr>
              <w:t>At or near the time of collection, the organisation must notify the individual of a range of prescribed matters including the identity of the organisation, the purpose, proposed use and disclosure, right to access etc</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2.</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Use and disclosure</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2.1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not use or disclose personal information about an individual for a purpose (the secondary purpose) other than the primary purpose of collection unless a prescribed exception applies</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3.</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Data quality</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3.1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take reasonable steps to make sure that the personal information it collects, uses or discloses is accurate, complete and up to date</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4.</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Data security</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4.1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take reasonable steps to protect personal information it holds from misuse and loss and from unauthorised access, modification or disclosure</w:t>
            </w:r>
          </w:p>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take reasonable steps to destroy or permanently de-identify personal information if it is no longer needed for any purpose</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5.</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Openness</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5.1</w:t>
            </w: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5.2</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set out in a document clearly expressed policies on its management of personal information. The organisation must make the document available to anyone who asks for it</w:t>
            </w:r>
          </w:p>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On request by a person, an organisation must take reasonable steps to let the person know, generally, what sort of personal information it holds, for what purposes, and how it collects, holds, uses and discloses that information</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6.</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Access and correction</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6.1</w:t>
            </w: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6.5</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If an organisation holds personal information about an individual, it must provide the individual with access to the information on request by the individual, except to the extent that prescribed exceptions apply</w:t>
            </w:r>
          </w:p>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If an organisation holds personal information about an individual and the individual is able to establish that the information is not accurate, complete or up to date, the organisation must take reasonable steps to correct the information so that it is accurate, complete and up to date</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7.</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Unique identifiers</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7.1</w:t>
            </w: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p>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7.2</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not assign unique identifiers to individuals unless the assignment of unique identifiers is necessary to enable the organisation to carry out any of its functions efficiently</w:t>
            </w:r>
          </w:p>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not adopt as its own identifier of an individual a unique identifier of the individual that has been assigned by another organisation unless prescribed exceptions apply</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8.</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Anonymity</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8.1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Wherever it is lawful and practicable, individuals must have the option of not identifying themselves when entering transactions with an organisation</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9.</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Transborder data flows</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9.1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may transfer personal information about an individual to someone (other than the organisation or the individual) who is outside Victoria only if prescribed conditions apply</w:t>
            </w:r>
          </w:p>
        </w:tc>
      </w:tr>
      <w:tr w:rsidR="00572B65" w:rsidRPr="00C4168E" w:rsidTr="003E602B">
        <w:trPr>
          <w:trHeight w:val="288"/>
        </w:trPr>
        <w:tc>
          <w:tcPr>
            <w:tcW w:w="1134"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10.</w:t>
            </w:r>
          </w:p>
        </w:tc>
        <w:tc>
          <w:tcPr>
            <w:tcW w:w="1418"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Sensitive information</w:t>
            </w:r>
          </w:p>
        </w:tc>
        <w:tc>
          <w:tcPr>
            <w:tcW w:w="709" w:type="dxa"/>
          </w:tcPr>
          <w:p w:rsidR="00572B65" w:rsidRPr="00C4168E" w:rsidRDefault="00572B65" w:rsidP="00844863">
            <w:pPr>
              <w:spacing w:after="0" w:line="240" w:lineRule="auto"/>
              <w:rPr>
                <w:rFonts w:asciiTheme="minorHAnsi" w:hAnsiTheme="minorHAnsi" w:cs="Arial"/>
                <w:sz w:val="20"/>
                <w:szCs w:val="20"/>
              </w:rPr>
            </w:pPr>
            <w:r w:rsidRPr="00C4168E">
              <w:rPr>
                <w:rFonts w:asciiTheme="minorHAnsi" w:hAnsiTheme="minorHAnsi" w:cs="Arial"/>
                <w:sz w:val="20"/>
                <w:szCs w:val="20"/>
              </w:rPr>
              <w:t>10.1</w:t>
            </w:r>
          </w:p>
        </w:tc>
        <w:tc>
          <w:tcPr>
            <w:tcW w:w="6520" w:type="dxa"/>
          </w:tcPr>
          <w:p w:rsidR="00572B65" w:rsidRPr="00C4168E" w:rsidRDefault="00572B65" w:rsidP="00844863">
            <w:pPr>
              <w:autoSpaceDE w:val="0"/>
              <w:autoSpaceDN w:val="0"/>
              <w:adjustRightInd w:val="0"/>
              <w:spacing w:after="0" w:line="240" w:lineRule="auto"/>
              <w:rPr>
                <w:rFonts w:asciiTheme="minorHAnsi" w:hAnsiTheme="minorHAnsi" w:cs="Arial"/>
                <w:sz w:val="20"/>
                <w:szCs w:val="20"/>
                <w:lang w:eastAsia="en-AU"/>
              </w:rPr>
            </w:pPr>
            <w:r w:rsidRPr="00C4168E">
              <w:rPr>
                <w:rFonts w:asciiTheme="minorHAnsi" w:hAnsiTheme="minorHAnsi" w:cs="Arial"/>
                <w:sz w:val="20"/>
                <w:szCs w:val="20"/>
                <w:lang w:eastAsia="en-AU"/>
              </w:rPr>
              <w:t>An organisation must not collect sensitive information about an individual unless the individual has consented or prescribed exceptions apply</w:t>
            </w:r>
          </w:p>
        </w:tc>
      </w:tr>
    </w:tbl>
    <w:p w:rsidR="00572B65" w:rsidRDefault="00572B65" w:rsidP="00B66AEF"/>
    <w:p w:rsidR="00572B65" w:rsidRPr="000D31A8" w:rsidRDefault="00572B65" w:rsidP="00572B65">
      <w:pPr>
        <w:rPr>
          <w:rFonts w:ascii="Arial" w:hAnsi="Arial" w:cs="Arial"/>
          <w:sz w:val="24"/>
          <w:szCs w:val="24"/>
        </w:rPr>
      </w:pPr>
      <w:r w:rsidRPr="000D31A8">
        <w:rPr>
          <w:rFonts w:ascii="Arial" w:hAnsi="Arial" w:cs="Arial"/>
          <w:b/>
          <w:sz w:val="24"/>
          <w:szCs w:val="24"/>
        </w:rPr>
        <w:lastRenderedPageBreak/>
        <w:t>HEALTH PRIVACY PRINCIPLES</w:t>
      </w:r>
      <w:r>
        <w:rPr>
          <w:rFonts w:ascii="Arial" w:hAnsi="Arial" w:cs="Arial"/>
          <w:b/>
          <w:sz w:val="24"/>
          <w:szCs w:val="24"/>
        </w:rPr>
        <w:t xml:space="preserve"> (HPP’s)</w:t>
      </w:r>
      <w:r>
        <w:rPr>
          <w:rFonts w:ascii="Arial" w:hAnsi="Arial" w:cs="Arial"/>
          <w:b/>
          <w:sz w:val="24"/>
          <w:szCs w:val="24"/>
        </w:rPr>
        <w:br/>
      </w:r>
      <w:r w:rsidRPr="001242DF">
        <w:rPr>
          <w:rFonts w:ascii="Arial" w:hAnsi="Arial" w:cs="Arial"/>
          <w:i/>
          <w:sz w:val="24"/>
          <w:szCs w:val="24"/>
        </w:rPr>
        <w:t>Health Records Act 2001</w:t>
      </w:r>
      <w:r w:rsidRPr="000D31A8">
        <w:rPr>
          <w:rFonts w:ascii="Arial" w:hAnsi="Arial" w:cs="Arial"/>
          <w:sz w:val="24"/>
          <w:szCs w:val="24"/>
        </w:rPr>
        <w:t xml:space="preserve"> (Vic)</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709"/>
        <w:gridCol w:w="7371"/>
      </w:tblGrid>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No.</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Subject</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p>
        </w:tc>
        <w:tc>
          <w:tcPr>
            <w:tcW w:w="7371"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Key Principles</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1.</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Collection</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1.1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1.4</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(including a person) must not collect health information about an individual unless the information is necessary for one or more of its functions or activities and the individual has consented.</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At or near the time of collection, the organisation must notify the individual of a range of prescribed matters including the purpose, proposed use and disclosure, right to access etc.</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2.</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Use and disclosure</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2.1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2.2</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may use health or personal information about an individual only for the primary purpose for which the information was collected.</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must not use or disclose health information about an individual for a purpose other than the primary purpose unless the individual has consented to the use or disclosure</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3.</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Data quality</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3.1</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must take reasonable steps to make sure that the health information it collects, uses or discloses is accurate, complete and up to date and relevant to its functions</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4.</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Data security and retention</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4.1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4.2</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must take reasonable steps to protect the health information it holds from misuse and loss and from unauthorised access, modification or disclosure</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 health service provider must not delete health information relating to an individual, even if it is later found or claimed to be inaccurate unless prescribed conditions apply</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5.</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Openness</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5.1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5.2</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must set out in a document its health information management policies, and access rights, and must make the document available to anyone who asks for it</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On request by an individual, an organisation must take reasonable steps to advise the individual about whether it holds their health information, how and why it is held, and the process for seeking access</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6.</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Access and correction</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6.1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6.5</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If an organisation holds health information about an individual, it must provide the individual with access to the information on request by the individual, unless prescribed conditions apply</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If an individual is able to establish that their information held by an organisation is inaccurate, incomplete, misleading or out of date, the organisation must take reasonable steps to correct the information</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7.</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Identifiers</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7.1</w:t>
            </w: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p>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7.2</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may only assign identifiers to individuals if the assignment of identifiers is reasonably necessary to enable the organisation to carry out any of its functions efficiently</w:t>
            </w:r>
          </w:p>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 private sector organisation may not adopt as its own identifier of an individual an identifier that has been assigned to that person by a public sector organisation unless prescribed exceptions apply</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8.</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Anonymity</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8.1</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Wherever it is lawful and practicable, individuals must have the option of not identifying themselves when entering transactions with an organisation</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9.</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Transborder data flows</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9.1</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An organisation may transfer health information about an individual to someone (other than the organisation or the individual) who is outside Victoria only if prescribed conditions apply</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10.</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Transfer or closure of the practice of a health service provider</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10.1</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If the practice or business of a health service provider is to be transferred or closed, the provider must comply with a prescribed set of procedures, including notification to former clients and the public</w:t>
            </w:r>
          </w:p>
        </w:tc>
      </w:tr>
      <w:tr w:rsidR="00572B65" w:rsidRPr="00C4168E" w:rsidTr="003E602B">
        <w:trPr>
          <w:trHeight w:val="288"/>
        </w:trPr>
        <w:tc>
          <w:tcPr>
            <w:tcW w:w="817" w:type="dxa"/>
          </w:tcPr>
          <w:p w:rsidR="00572B65" w:rsidRPr="00C4168E" w:rsidRDefault="00572B65" w:rsidP="00844863">
            <w:pPr>
              <w:spacing w:after="0" w:line="240" w:lineRule="auto"/>
              <w:jc w:val="center"/>
              <w:rPr>
                <w:rFonts w:asciiTheme="minorHAnsi" w:hAnsiTheme="minorHAnsi" w:cs="Arial"/>
                <w:sz w:val="20"/>
                <w:szCs w:val="20"/>
              </w:rPr>
            </w:pPr>
            <w:r w:rsidRPr="00C4168E">
              <w:rPr>
                <w:rFonts w:asciiTheme="minorHAnsi" w:hAnsiTheme="minorHAnsi" w:cs="Arial"/>
                <w:sz w:val="20"/>
                <w:szCs w:val="20"/>
              </w:rPr>
              <w:t>11.</w:t>
            </w:r>
          </w:p>
        </w:tc>
        <w:tc>
          <w:tcPr>
            <w:tcW w:w="1559" w:type="dxa"/>
          </w:tcPr>
          <w:p w:rsidR="00572B65" w:rsidRPr="00C4168E" w:rsidRDefault="00572B65" w:rsidP="00C4168E">
            <w:pPr>
              <w:spacing w:after="0" w:line="240" w:lineRule="auto"/>
              <w:jc w:val="center"/>
              <w:rPr>
                <w:rFonts w:asciiTheme="minorHAnsi" w:hAnsiTheme="minorHAnsi" w:cs="Arial"/>
                <w:sz w:val="20"/>
                <w:szCs w:val="20"/>
              </w:rPr>
            </w:pPr>
            <w:r w:rsidRPr="003E602B">
              <w:rPr>
                <w:rFonts w:asciiTheme="minorHAnsi" w:hAnsiTheme="minorHAnsi" w:cs="Arial"/>
                <w:sz w:val="18"/>
                <w:szCs w:val="18"/>
              </w:rPr>
              <w:t>Making information available to another provider</w:t>
            </w:r>
          </w:p>
        </w:tc>
        <w:tc>
          <w:tcPr>
            <w:tcW w:w="709" w:type="dxa"/>
          </w:tcPr>
          <w:p w:rsidR="00572B65" w:rsidRPr="00C4168E" w:rsidRDefault="00572B65" w:rsidP="00C4168E">
            <w:pPr>
              <w:spacing w:after="0" w:line="240" w:lineRule="auto"/>
              <w:jc w:val="center"/>
              <w:rPr>
                <w:rFonts w:asciiTheme="minorHAnsi" w:hAnsiTheme="minorHAnsi" w:cs="Arial"/>
                <w:sz w:val="20"/>
                <w:szCs w:val="20"/>
              </w:rPr>
            </w:pPr>
            <w:r w:rsidRPr="00C4168E">
              <w:rPr>
                <w:rFonts w:asciiTheme="minorHAnsi" w:hAnsiTheme="minorHAnsi" w:cs="Arial"/>
                <w:sz w:val="20"/>
                <w:szCs w:val="20"/>
              </w:rPr>
              <w:t>11.1</w:t>
            </w:r>
          </w:p>
        </w:tc>
        <w:tc>
          <w:tcPr>
            <w:tcW w:w="7371" w:type="dxa"/>
          </w:tcPr>
          <w:p w:rsidR="00572B65" w:rsidRPr="00C4168E" w:rsidRDefault="00572B65" w:rsidP="00C4168E">
            <w:pPr>
              <w:spacing w:after="0" w:line="240" w:lineRule="auto"/>
              <w:rPr>
                <w:rFonts w:asciiTheme="minorHAnsi" w:hAnsiTheme="minorHAnsi" w:cs="Arial"/>
                <w:sz w:val="20"/>
                <w:szCs w:val="20"/>
              </w:rPr>
            </w:pPr>
            <w:r w:rsidRPr="00C4168E">
              <w:rPr>
                <w:rFonts w:asciiTheme="minorHAnsi" w:hAnsiTheme="minorHAnsi" w:cs="Arial"/>
                <w:sz w:val="20"/>
                <w:szCs w:val="20"/>
              </w:rPr>
              <w:t>If an individual requests a health service provider to make their health information available to another provider, the former must comply with the request</w:t>
            </w:r>
          </w:p>
        </w:tc>
      </w:tr>
    </w:tbl>
    <w:p w:rsidR="00EC78B2" w:rsidRDefault="00EC78B2" w:rsidP="00ED2D73">
      <w:pPr>
        <w:pStyle w:val="Heading1"/>
        <w:numPr>
          <w:ilvl w:val="0"/>
          <w:numId w:val="0"/>
        </w:numPr>
        <w:ind w:left="432" w:hanging="432"/>
      </w:pPr>
      <w:bookmarkStart w:id="14" w:name="_Toc442283963"/>
      <w:r w:rsidRPr="00800453">
        <w:lastRenderedPageBreak/>
        <w:t>Document Control</w:t>
      </w:r>
      <w:bookmarkEnd w:id="14"/>
    </w:p>
    <w:tbl>
      <w:tblPr>
        <w:tblW w:w="10065"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897"/>
        <w:gridCol w:w="6168"/>
      </w:tblGrid>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outlineLvl w:val="3"/>
              <w:rPr>
                <w:rFonts w:cstheme="minorHAnsi"/>
                <w:color w:val="000000" w:themeColor="text1"/>
              </w:rPr>
            </w:pPr>
            <w:r>
              <w:rPr>
                <w:rFonts w:cstheme="minorHAnsi"/>
                <w:b/>
                <w:bCs/>
                <w:color w:val="000000" w:themeColor="text1"/>
              </w:rPr>
              <w:t>Policy</w:t>
            </w:r>
            <w:r w:rsidRPr="00DE1CBB">
              <w:rPr>
                <w:rFonts w:cstheme="minorHAnsi"/>
                <w:b/>
                <w:bCs/>
                <w:color w:val="000000" w:themeColor="text1"/>
              </w:rPr>
              <w:t xml:space="preserve">: </w:t>
            </w:r>
          </w:p>
        </w:tc>
        <w:tc>
          <w:tcPr>
            <w:tcW w:w="6168" w:type="dxa"/>
            <w:tcBorders>
              <w:top w:val="single" w:sz="8" w:space="0" w:color="000000"/>
              <w:left w:val="single" w:sz="8" w:space="0" w:color="000000"/>
              <w:bottom w:val="single" w:sz="8" w:space="0" w:color="000000"/>
            </w:tcBorders>
          </w:tcPr>
          <w:p w:rsidR="00EC78B2" w:rsidRPr="00DE1CBB" w:rsidRDefault="00A47BDA" w:rsidP="00EC5DD1">
            <w:pPr>
              <w:autoSpaceDE w:val="0"/>
              <w:autoSpaceDN w:val="0"/>
              <w:adjustRightInd w:val="0"/>
              <w:spacing w:before="60" w:line="240" w:lineRule="auto"/>
              <w:rPr>
                <w:rFonts w:cstheme="minorHAnsi"/>
                <w:color w:val="000000" w:themeColor="text1"/>
              </w:rPr>
            </w:pPr>
            <w:r>
              <w:rPr>
                <w:rFonts w:cstheme="minorHAnsi"/>
                <w:color w:val="000000" w:themeColor="text1"/>
              </w:rPr>
              <w:t>Privacy</w:t>
            </w:r>
            <w:r w:rsidR="00EC78B2" w:rsidRPr="005E3838">
              <w:rPr>
                <w:rFonts w:cstheme="minorHAnsi"/>
                <w:color w:val="000000" w:themeColor="text1"/>
              </w:rPr>
              <w:t xml:space="preserve"> Policy</w:t>
            </w:r>
            <w:r w:rsidR="00EC5DD1">
              <w:rPr>
                <w:rFonts w:cstheme="minorHAnsi"/>
                <w:color w:val="000000" w:themeColor="text1"/>
              </w:rPr>
              <w:t xml:space="preserve"> (A232093)</w:t>
            </w:r>
          </w:p>
        </w:tc>
      </w:tr>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Pr>
                <w:rFonts w:cstheme="minorHAnsi"/>
                <w:b/>
                <w:bCs/>
                <w:color w:val="000000" w:themeColor="text1"/>
              </w:rPr>
              <w:t>Date prepared</w:t>
            </w:r>
            <w:r w:rsidRPr="00DE1CBB">
              <w:rPr>
                <w:rFonts w:cstheme="minorHAnsi"/>
                <w:b/>
                <w:bCs/>
                <w:color w:val="000000" w:themeColor="text1"/>
              </w:rPr>
              <w:t xml:space="preserve">: </w:t>
            </w:r>
          </w:p>
        </w:tc>
        <w:tc>
          <w:tcPr>
            <w:tcW w:w="6168" w:type="dxa"/>
            <w:tcBorders>
              <w:top w:val="single" w:sz="8" w:space="0" w:color="000000"/>
              <w:left w:val="single" w:sz="8" w:space="0" w:color="000000"/>
              <w:bottom w:val="single" w:sz="8" w:space="0" w:color="000000"/>
            </w:tcBorders>
          </w:tcPr>
          <w:p w:rsidR="00EC78B2" w:rsidRPr="00DE1CBB" w:rsidRDefault="003E602B" w:rsidP="00966D28">
            <w:pPr>
              <w:autoSpaceDE w:val="0"/>
              <w:autoSpaceDN w:val="0"/>
              <w:adjustRightInd w:val="0"/>
              <w:spacing w:before="60" w:line="240" w:lineRule="auto"/>
              <w:rPr>
                <w:rFonts w:cstheme="minorHAnsi"/>
                <w:color w:val="000000" w:themeColor="text1"/>
              </w:rPr>
            </w:pPr>
            <w:r>
              <w:rPr>
                <w:rFonts w:cstheme="minorHAnsi"/>
                <w:color w:val="000000" w:themeColor="text1"/>
              </w:rPr>
              <w:t>1</w:t>
            </w:r>
            <w:r w:rsidR="00966D28">
              <w:rPr>
                <w:rFonts w:cstheme="minorHAnsi"/>
                <w:color w:val="000000" w:themeColor="text1"/>
              </w:rPr>
              <w:t>2</w:t>
            </w:r>
            <w:r w:rsidRPr="003E602B">
              <w:rPr>
                <w:rFonts w:cstheme="minorHAnsi"/>
                <w:color w:val="000000" w:themeColor="text1"/>
                <w:vertAlign w:val="superscript"/>
              </w:rPr>
              <w:t>th</w:t>
            </w:r>
            <w:r>
              <w:rPr>
                <w:rFonts w:cstheme="minorHAnsi"/>
                <w:color w:val="000000" w:themeColor="text1"/>
              </w:rPr>
              <w:t xml:space="preserve"> </w:t>
            </w:r>
            <w:r w:rsidR="00EC78B2">
              <w:rPr>
                <w:rFonts w:cstheme="minorHAnsi"/>
                <w:color w:val="000000" w:themeColor="text1"/>
              </w:rPr>
              <w:t>February</w:t>
            </w:r>
            <w:r w:rsidR="00EC78B2" w:rsidRPr="00DE1CBB">
              <w:rPr>
                <w:rFonts w:cstheme="minorHAnsi"/>
                <w:color w:val="000000" w:themeColor="text1"/>
              </w:rPr>
              <w:t xml:space="preserve"> 201</w:t>
            </w:r>
            <w:r w:rsidR="00A47BDA">
              <w:rPr>
                <w:rFonts w:cstheme="minorHAnsi"/>
                <w:color w:val="000000" w:themeColor="text1"/>
              </w:rPr>
              <w:t>6</w:t>
            </w:r>
          </w:p>
        </w:tc>
      </w:tr>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sidRPr="00FB4EC3">
              <w:rPr>
                <w:b/>
              </w:rPr>
              <w:t xml:space="preserve">Dated adopted by </w:t>
            </w:r>
            <w:r>
              <w:rPr>
                <w:b/>
              </w:rPr>
              <w:t>CMT</w:t>
            </w:r>
            <w:r w:rsidRPr="00DE1CBB">
              <w:rPr>
                <w:rFonts w:cstheme="minorHAnsi"/>
                <w:b/>
                <w:bCs/>
                <w:color w:val="000000" w:themeColor="text1"/>
              </w:rPr>
              <w:t>:</w:t>
            </w:r>
          </w:p>
        </w:tc>
        <w:tc>
          <w:tcPr>
            <w:tcW w:w="6168" w:type="dxa"/>
            <w:tcBorders>
              <w:top w:val="single" w:sz="8" w:space="0" w:color="000000"/>
              <w:left w:val="single" w:sz="8" w:space="0" w:color="000000"/>
              <w:bottom w:val="single" w:sz="8" w:space="0" w:color="000000"/>
            </w:tcBorders>
          </w:tcPr>
          <w:p w:rsidR="00EC78B2" w:rsidRPr="00DE1CBB" w:rsidRDefault="00EC5DD1" w:rsidP="006A3F5B">
            <w:pPr>
              <w:autoSpaceDE w:val="0"/>
              <w:autoSpaceDN w:val="0"/>
              <w:adjustRightInd w:val="0"/>
              <w:spacing w:before="60" w:line="240" w:lineRule="auto"/>
              <w:rPr>
                <w:rFonts w:cstheme="minorHAnsi"/>
                <w:color w:val="000000" w:themeColor="text1"/>
              </w:rPr>
            </w:pPr>
            <w:r>
              <w:rPr>
                <w:rFonts w:cstheme="minorHAnsi"/>
                <w:color w:val="000000" w:themeColor="text1"/>
              </w:rPr>
              <w:t>17</w:t>
            </w:r>
            <w:r w:rsidRPr="00EC5DD1">
              <w:rPr>
                <w:rFonts w:cstheme="minorHAnsi"/>
                <w:color w:val="000000" w:themeColor="text1"/>
                <w:vertAlign w:val="superscript"/>
              </w:rPr>
              <w:t>th</w:t>
            </w:r>
            <w:r>
              <w:rPr>
                <w:rFonts w:cstheme="minorHAnsi"/>
                <w:color w:val="000000" w:themeColor="text1"/>
              </w:rPr>
              <w:t xml:space="preserve"> March 2016</w:t>
            </w:r>
          </w:p>
        </w:tc>
      </w:tr>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Pr>
                <w:rFonts w:cstheme="minorHAnsi"/>
                <w:b/>
                <w:bCs/>
                <w:color w:val="000000" w:themeColor="text1"/>
              </w:rPr>
              <w:t>Directorate</w:t>
            </w:r>
            <w:r w:rsidRPr="00DE1CBB">
              <w:rPr>
                <w:rFonts w:cstheme="minorHAnsi"/>
                <w:b/>
                <w:bCs/>
                <w:color w:val="000000" w:themeColor="text1"/>
              </w:rPr>
              <w:t xml:space="preserve">: </w:t>
            </w:r>
          </w:p>
        </w:tc>
        <w:tc>
          <w:tcPr>
            <w:tcW w:w="6168" w:type="dxa"/>
            <w:tcBorders>
              <w:top w:val="single" w:sz="8" w:space="0" w:color="000000"/>
              <w:left w:val="single" w:sz="8" w:space="0" w:color="000000"/>
              <w:bottom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Pr>
                <w:rFonts w:cstheme="minorHAnsi"/>
                <w:color w:val="000000" w:themeColor="text1"/>
              </w:rPr>
              <w:t>Corporate Services</w:t>
            </w:r>
          </w:p>
        </w:tc>
      </w:tr>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Pr>
                <w:rFonts w:cstheme="minorHAnsi"/>
                <w:b/>
                <w:bCs/>
                <w:color w:val="000000" w:themeColor="text1"/>
              </w:rPr>
              <w:t>Department</w:t>
            </w:r>
            <w:r w:rsidRPr="00DE1CBB">
              <w:rPr>
                <w:rFonts w:cstheme="minorHAnsi"/>
                <w:b/>
                <w:bCs/>
                <w:color w:val="000000" w:themeColor="text1"/>
              </w:rPr>
              <w:t xml:space="preserve">: </w:t>
            </w:r>
          </w:p>
        </w:tc>
        <w:tc>
          <w:tcPr>
            <w:tcW w:w="6168" w:type="dxa"/>
            <w:tcBorders>
              <w:top w:val="single" w:sz="8" w:space="0" w:color="000000"/>
              <w:left w:val="single" w:sz="8" w:space="0" w:color="000000"/>
              <w:bottom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Pr>
                <w:rFonts w:cstheme="minorHAnsi"/>
                <w:color w:val="000000" w:themeColor="text1"/>
              </w:rPr>
              <w:t>Information Services</w:t>
            </w:r>
          </w:p>
        </w:tc>
      </w:tr>
      <w:tr w:rsidR="00EC78B2" w:rsidRPr="00DE1CBB"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sidRPr="00DE1CBB">
              <w:rPr>
                <w:rFonts w:cstheme="minorHAnsi"/>
                <w:b/>
                <w:bCs/>
                <w:color w:val="000000" w:themeColor="text1"/>
              </w:rPr>
              <w:t xml:space="preserve">Responsible Officer(s): </w:t>
            </w:r>
          </w:p>
        </w:tc>
        <w:tc>
          <w:tcPr>
            <w:tcW w:w="6168" w:type="dxa"/>
            <w:tcBorders>
              <w:top w:val="single" w:sz="8" w:space="0" w:color="000000"/>
              <w:left w:val="single" w:sz="8" w:space="0" w:color="000000"/>
              <w:bottom w:val="single" w:sz="8" w:space="0" w:color="000000"/>
            </w:tcBorders>
          </w:tcPr>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Manager Information Services</w:t>
            </w:r>
          </w:p>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CEO and Directors</w:t>
            </w:r>
          </w:p>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Departmental Managers</w:t>
            </w:r>
          </w:p>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Coordinators, Team Leaders and Supervisors</w:t>
            </w:r>
          </w:p>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System Administrators</w:t>
            </w:r>
          </w:p>
          <w:p w:rsidR="00EC78B2" w:rsidRPr="006D202C"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All Staff</w:t>
            </w:r>
          </w:p>
          <w:p w:rsidR="00EC78B2" w:rsidRPr="00DE1CBB" w:rsidRDefault="00EC78B2" w:rsidP="006A3F5B">
            <w:pPr>
              <w:autoSpaceDE w:val="0"/>
              <w:autoSpaceDN w:val="0"/>
              <w:adjustRightInd w:val="0"/>
              <w:spacing w:after="0" w:line="240" w:lineRule="auto"/>
              <w:rPr>
                <w:rFonts w:cstheme="minorHAnsi"/>
                <w:color w:val="000000" w:themeColor="text1"/>
              </w:rPr>
            </w:pPr>
            <w:r w:rsidRPr="006D202C">
              <w:rPr>
                <w:rFonts w:cstheme="minorHAnsi"/>
                <w:color w:val="000000" w:themeColor="text1"/>
              </w:rPr>
              <w:t>Councillors, Contractors and Volunteers</w:t>
            </w:r>
          </w:p>
        </w:tc>
      </w:tr>
      <w:tr w:rsidR="00EC78B2" w:rsidRPr="00490A1A" w:rsidTr="006A3F5B">
        <w:trPr>
          <w:trHeight w:val="125"/>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rPr>
                <w:rFonts w:cstheme="minorHAnsi"/>
                <w:color w:val="000000" w:themeColor="text1"/>
              </w:rPr>
            </w:pPr>
            <w:r w:rsidRPr="00DE1CBB">
              <w:rPr>
                <w:rFonts w:cstheme="minorHAnsi"/>
                <w:b/>
                <w:bCs/>
                <w:color w:val="000000" w:themeColor="text1"/>
              </w:rPr>
              <w:t xml:space="preserve">Next Review Due: </w:t>
            </w:r>
          </w:p>
        </w:tc>
        <w:tc>
          <w:tcPr>
            <w:tcW w:w="6168" w:type="dxa"/>
            <w:tcBorders>
              <w:top w:val="single" w:sz="8" w:space="0" w:color="000000"/>
              <w:left w:val="single" w:sz="8" w:space="0" w:color="000000"/>
              <w:bottom w:val="single" w:sz="8" w:space="0" w:color="000000"/>
            </w:tcBorders>
          </w:tcPr>
          <w:p w:rsidR="00EC78B2" w:rsidRPr="00DE1CBB" w:rsidRDefault="00EC5DD1" w:rsidP="003E602B">
            <w:pPr>
              <w:autoSpaceDE w:val="0"/>
              <w:autoSpaceDN w:val="0"/>
              <w:adjustRightInd w:val="0"/>
              <w:spacing w:before="60"/>
              <w:rPr>
                <w:rFonts w:cstheme="minorHAnsi"/>
                <w:color w:val="000000" w:themeColor="text1"/>
              </w:rPr>
            </w:pPr>
            <w:r>
              <w:rPr>
                <w:rFonts w:cstheme="minorHAnsi"/>
                <w:color w:val="000000" w:themeColor="text1"/>
              </w:rPr>
              <w:t>17</w:t>
            </w:r>
            <w:r w:rsidRPr="00EC5DD1">
              <w:rPr>
                <w:rFonts w:cstheme="minorHAnsi"/>
                <w:color w:val="000000" w:themeColor="text1"/>
                <w:vertAlign w:val="superscript"/>
              </w:rPr>
              <w:t>th</w:t>
            </w:r>
            <w:r>
              <w:rPr>
                <w:rFonts w:cstheme="minorHAnsi"/>
                <w:color w:val="000000" w:themeColor="text1"/>
              </w:rPr>
              <w:t xml:space="preserve"> March 2018</w:t>
            </w:r>
          </w:p>
        </w:tc>
      </w:tr>
      <w:tr w:rsidR="00EC78B2" w:rsidRPr="00DE1CBB" w:rsidTr="006A3F5B">
        <w:trPr>
          <w:trHeight w:val="797"/>
        </w:trPr>
        <w:tc>
          <w:tcPr>
            <w:tcW w:w="3897" w:type="dxa"/>
            <w:tcBorders>
              <w:top w:val="single" w:sz="8" w:space="0" w:color="000000"/>
              <w:bottom w:val="single" w:sz="8" w:space="0" w:color="000000"/>
              <w:right w:val="single" w:sz="8" w:space="0" w:color="000000"/>
            </w:tcBorders>
          </w:tcPr>
          <w:p w:rsidR="00EC78B2" w:rsidRDefault="00EC78B2" w:rsidP="006A3F5B">
            <w:pPr>
              <w:autoSpaceDE w:val="0"/>
              <w:autoSpaceDN w:val="0"/>
              <w:adjustRightInd w:val="0"/>
              <w:spacing w:before="60" w:line="240" w:lineRule="auto"/>
              <w:rPr>
                <w:rFonts w:cstheme="minorHAnsi"/>
                <w:b/>
                <w:bCs/>
                <w:color w:val="000000" w:themeColor="text1"/>
              </w:rPr>
            </w:pPr>
            <w:r w:rsidRPr="00DE1CBB">
              <w:rPr>
                <w:rFonts w:cstheme="minorHAnsi"/>
                <w:b/>
                <w:bCs/>
                <w:color w:val="000000" w:themeColor="text1"/>
              </w:rPr>
              <w:t>Applicable Legislation</w:t>
            </w:r>
          </w:p>
          <w:p w:rsidR="00EC78B2" w:rsidRPr="00DE462D" w:rsidRDefault="00EC78B2" w:rsidP="006A3F5B">
            <w:pPr>
              <w:autoSpaceDE w:val="0"/>
              <w:autoSpaceDN w:val="0"/>
              <w:adjustRightInd w:val="0"/>
              <w:spacing w:before="60" w:line="240" w:lineRule="auto"/>
              <w:rPr>
                <w:rFonts w:cstheme="minorHAnsi"/>
                <w:color w:val="000000" w:themeColor="text1"/>
              </w:rPr>
            </w:pPr>
            <w:r w:rsidRPr="00DE462D">
              <w:rPr>
                <w:rFonts w:cstheme="minorHAnsi"/>
                <w:bCs/>
                <w:color w:val="000000" w:themeColor="text1"/>
              </w:rPr>
              <w:t xml:space="preserve">A range of legislation, statutes and codes of practice are applicable to information </w:t>
            </w:r>
            <w:r>
              <w:rPr>
                <w:rFonts w:cstheme="minorHAnsi"/>
                <w:bCs/>
                <w:color w:val="000000" w:themeColor="text1"/>
              </w:rPr>
              <w:t>security</w:t>
            </w:r>
            <w:r w:rsidRPr="00DE462D">
              <w:rPr>
                <w:rFonts w:cstheme="minorHAnsi"/>
                <w:bCs/>
                <w:color w:val="000000" w:themeColor="text1"/>
              </w:rPr>
              <w:t xml:space="preserve"> within the Council. This may include, but is not limited to</w:t>
            </w:r>
            <w:r>
              <w:rPr>
                <w:rFonts w:cstheme="minorHAnsi"/>
                <w:bCs/>
                <w:color w:val="000000" w:themeColor="text1"/>
              </w:rPr>
              <w:t>:</w:t>
            </w:r>
          </w:p>
        </w:tc>
        <w:tc>
          <w:tcPr>
            <w:tcW w:w="6168" w:type="dxa"/>
            <w:tcBorders>
              <w:top w:val="single" w:sz="8" w:space="0" w:color="000000"/>
              <w:left w:val="single" w:sz="8" w:space="0" w:color="000000"/>
              <w:bottom w:val="single" w:sz="8" w:space="0" w:color="000000"/>
            </w:tcBorders>
          </w:tcPr>
          <w:p w:rsidR="00966D28" w:rsidRDefault="00966D28" w:rsidP="006A3F5B">
            <w:pPr>
              <w:autoSpaceDE w:val="0"/>
              <w:autoSpaceDN w:val="0"/>
              <w:adjustRightInd w:val="0"/>
              <w:spacing w:after="0" w:line="240" w:lineRule="auto"/>
              <w:rPr>
                <w:rFonts w:cstheme="minorHAnsi"/>
                <w:i/>
                <w:color w:val="000000" w:themeColor="text1"/>
              </w:rPr>
            </w:pPr>
            <w:r w:rsidRPr="00393AED">
              <w:rPr>
                <w:rFonts w:cstheme="minorHAnsi"/>
                <w:i/>
                <w:color w:val="000000" w:themeColor="text1"/>
              </w:rPr>
              <w:t>Privacy and Data Protection Act 2014</w:t>
            </w:r>
          </w:p>
          <w:p w:rsidR="00966D28" w:rsidRDefault="00966D28" w:rsidP="00966D28">
            <w:pPr>
              <w:autoSpaceDE w:val="0"/>
              <w:autoSpaceDN w:val="0"/>
              <w:adjustRightInd w:val="0"/>
              <w:spacing w:after="0" w:line="240" w:lineRule="auto"/>
              <w:rPr>
                <w:rFonts w:cstheme="minorHAnsi"/>
                <w:i/>
                <w:color w:val="000000" w:themeColor="text1"/>
              </w:rPr>
            </w:pPr>
            <w:r w:rsidRPr="00A70C3E">
              <w:rPr>
                <w:rFonts w:cstheme="minorHAnsi"/>
                <w:i/>
                <w:color w:val="000000" w:themeColor="text1"/>
              </w:rPr>
              <w:t>Health Records Act 2001</w:t>
            </w:r>
          </w:p>
          <w:p w:rsidR="00966D28" w:rsidRDefault="00966D28" w:rsidP="00966D28">
            <w:pPr>
              <w:autoSpaceDE w:val="0"/>
              <w:autoSpaceDN w:val="0"/>
              <w:adjustRightInd w:val="0"/>
              <w:spacing w:after="0" w:line="240" w:lineRule="auto"/>
              <w:rPr>
                <w:rFonts w:cstheme="minorHAnsi"/>
                <w:i/>
                <w:color w:val="000000" w:themeColor="text1"/>
              </w:rPr>
            </w:pPr>
            <w:r>
              <w:rPr>
                <w:rFonts w:cstheme="minorHAnsi"/>
                <w:i/>
                <w:color w:val="000000" w:themeColor="text1"/>
              </w:rPr>
              <w:t>Local Government Act 198</w:t>
            </w:r>
            <w:r w:rsidRPr="002E09C3">
              <w:rPr>
                <w:rFonts w:cstheme="minorHAnsi"/>
                <w:i/>
                <w:color w:val="000000" w:themeColor="text1"/>
              </w:rPr>
              <w:t xml:space="preserve">9 </w:t>
            </w:r>
          </w:p>
          <w:p w:rsidR="00966D28" w:rsidRPr="002E09C3" w:rsidRDefault="00966D28" w:rsidP="00966D28">
            <w:pPr>
              <w:autoSpaceDE w:val="0"/>
              <w:autoSpaceDN w:val="0"/>
              <w:adjustRightInd w:val="0"/>
              <w:spacing w:after="0" w:line="240" w:lineRule="auto"/>
              <w:rPr>
                <w:rFonts w:cstheme="minorHAnsi"/>
                <w:i/>
                <w:color w:val="000000" w:themeColor="text1"/>
              </w:rPr>
            </w:pPr>
            <w:r>
              <w:rPr>
                <w:rFonts w:cstheme="minorHAnsi"/>
                <w:i/>
                <w:color w:val="000000" w:themeColor="text1"/>
              </w:rPr>
              <w:t>Freedom of Information Act 1982</w:t>
            </w:r>
          </w:p>
          <w:p w:rsidR="00EC78B2" w:rsidRDefault="00EC78B2" w:rsidP="006A3F5B">
            <w:pPr>
              <w:autoSpaceDE w:val="0"/>
              <w:autoSpaceDN w:val="0"/>
              <w:adjustRightInd w:val="0"/>
              <w:spacing w:after="0" w:line="240" w:lineRule="auto"/>
              <w:rPr>
                <w:rFonts w:cstheme="minorHAnsi"/>
                <w:i/>
                <w:color w:val="000000" w:themeColor="text1"/>
              </w:rPr>
            </w:pPr>
            <w:r w:rsidRPr="00A70C3E">
              <w:rPr>
                <w:rFonts w:cstheme="minorHAnsi"/>
                <w:i/>
                <w:color w:val="000000" w:themeColor="text1"/>
              </w:rPr>
              <w:t>Public Records Act 1973</w:t>
            </w:r>
          </w:p>
          <w:p w:rsidR="00EC78B2" w:rsidRPr="00DE462D" w:rsidRDefault="00EC78B2" w:rsidP="00966D28">
            <w:pPr>
              <w:autoSpaceDE w:val="0"/>
              <w:autoSpaceDN w:val="0"/>
              <w:adjustRightInd w:val="0"/>
              <w:spacing w:after="0" w:line="240" w:lineRule="auto"/>
              <w:rPr>
                <w:rFonts w:cstheme="minorHAnsi"/>
                <w:i/>
                <w:color w:val="000000" w:themeColor="text1"/>
              </w:rPr>
            </w:pPr>
          </w:p>
        </w:tc>
      </w:tr>
      <w:tr w:rsidR="00EC78B2" w:rsidRPr="00DE1CBB" w:rsidTr="006A3F5B">
        <w:trPr>
          <w:trHeight w:val="931"/>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sidRPr="00DE1CBB">
              <w:rPr>
                <w:rFonts w:cstheme="minorHAnsi"/>
                <w:b/>
                <w:bCs/>
                <w:color w:val="000000" w:themeColor="text1"/>
              </w:rPr>
              <w:t xml:space="preserve">Related Policies: </w:t>
            </w:r>
          </w:p>
        </w:tc>
        <w:tc>
          <w:tcPr>
            <w:tcW w:w="6168" w:type="dxa"/>
            <w:tcBorders>
              <w:top w:val="single" w:sz="8" w:space="0" w:color="000000"/>
              <w:left w:val="single" w:sz="8" w:space="0" w:color="000000"/>
              <w:bottom w:val="single" w:sz="8" w:space="0" w:color="000000"/>
            </w:tcBorders>
          </w:tcPr>
          <w:p w:rsidR="00EC78B2" w:rsidRDefault="00EC78B2" w:rsidP="006A3F5B">
            <w:pPr>
              <w:autoSpaceDE w:val="0"/>
              <w:autoSpaceDN w:val="0"/>
              <w:adjustRightInd w:val="0"/>
              <w:spacing w:after="0" w:line="240" w:lineRule="auto"/>
            </w:pPr>
            <w:r>
              <w:t>Employee Code of Conduct (</w:t>
            </w:r>
            <w:hyperlink r:id="rId9" w:history="1">
              <w:r w:rsidRPr="00FA49DE">
                <w:rPr>
                  <w:rStyle w:val="Hyperlink"/>
                </w:rPr>
                <w:t>Pulse Link</w:t>
              </w:r>
            </w:hyperlink>
            <w:r>
              <w:t>)</w:t>
            </w:r>
          </w:p>
          <w:p w:rsidR="00EC78B2" w:rsidRPr="00E93DEB" w:rsidRDefault="00EC78B2" w:rsidP="006A3F5B">
            <w:pPr>
              <w:autoSpaceDE w:val="0"/>
              <w:autoSpaceDN w:val="0"/>
              <w:adjustRightInd w:val="0"/>
              <w:spacing w:after="0" w:line="240" w:lineRule="auto"/>
              <w:rPr>
                <w:rFonts w:cstheme="minorHAnsi"/>
                <w:color w:val="000000" w:themeColor="text1"/>
              </w:rPr>
            </w:pPr>
            <w:r>
              <w:rPr>
                <w:rFonts w:cstheme="minorHAnsi"/>
                <w:color w:val="000000" w:themeColor="text1"/>
              </w:rPr>
              <w:t>Records Management Policy (</w:t>
            </w:r>
            <w:r>
              <w:t>A2066460</w:t>
            </w:r>
            <w:r>
              <w:rPr>
                <w:rFonts w:cstheme="minorHAnsi"/>
                <w:color w:val="000000" w:themeColor="text1"/>
              </w:rPr>
              <w:t>)</w:t>
            </w:r>
          </w:p>
        </w:tc>
      </w:tr>
      <w:tr w:rsidR="00EC78B2" w:rsidRPr="00DE1CBB" w:rsidTr="006A3F5B">
        <w:trPr>
          <w:trHeight w:val="259"/>
        </w:trPr>
        <w:tc>
          <w:tcPr>
            <w:tcW w:w="3897" w:type="dxa"/>
            <w:tcBorders>
              <w:top w:val="single" w:sz="8" w:space="0" w:color="000000"/>
              <w:bottom w:val="single" w:sz="8" w:space="0" w:color="000000"/>
              <w:right w:val="single" w:sz="8" w:space="0" w:color="000000"/>
            </w:tcBorders>
          </w:tcPr>
          <w:p w:rsidR="00EC78B2" w:rsidRPr="00DE1CBB" w:rsidRDefault="00EC78B2" w:rsidP="006A3F5B">
            <w:pPr>
              <w:autoSpaceDE w:val="0"/>
              <w:autoSpaceDN w:val="0"/>
              <w:adjustRightInd w:val="0"/>
              <w:spacing w:before="60" w:line="240" w:lineRule="auto"/>
              <w:rPr>
                <w:rFonts w:cstheme="minorHAnsi"/>
                <w:color w:val="000000" w:themeColor="text1"/>
              </w:rPr>
            </w:pPr>
            <w:r w:rsidRPr="00DE1CBB">
              <w:rPr>
                <w:rFonts w:cstheme="minorHAnsi"/>
                <w:b/>
                <w:bCs/>
                <w:color w:val="000000" w:themeColor="text1"/>
              </w:rPr>
              <w:t xml:space="preserve">Related Procedures: </w:t>
            </w:r>
          </w:p>
        </w:tc>
        <w:tc>
          <w:tcPr>
            <w:tcW w:w="6168" w:type="dxa"/>
            <w:tcBorders>
              <w:top w:val="single" w:sz="8" w:space="0" w:color="000000"/>
              <w:left w:val="single" w:sz="8" w:space="0" w:color="000000"/>
              <w:bottom w:val="single" w:sz="8" w:space="0" w:color="000000"/>
            </w:tcBorders>
          </w:tcPr>
          <w:p w:rsidR="00EC78B2" w:rsidRPr="00DE1CBB" w:rsidRDefault="00EC78B2" w:rsidP="00AB2E47">
            <w:pPr>
              <w:autoSpaceDE w:val="0"/>
              <w:autoSpaceDN w:val="0"/>
              <w:adjustRightInd w:val="0"/>
              <w:spacing w:after="0" w:line="240" w:lineRule="auto"/>
              <w:rPr>
                <w:rFonts w:cstheme="minorHAnsi"/>
                <w:color w:val="000000" w:themeColor="text1"/>
              </w:rPr>
            </w:pPr>
            <w:r w:rsidRPr="00E81B82">
              <w:t>ICT Standards and Procedures</w:t>
            </w:r>
            <w:r w:rsidR="00AB2E47">
              <w:t>.</w:t>
            </w:r>
          </w:p>
        </w:tc>
      </w:tr>
    </w:tbl>
    <w:p w:rsidR="00EC78B2" w:rsidRDefault="00EC78B2" w:rsidP="00EC78B2">
      <w:pPr>
        <w:autoSpaceDE w:val="0"/>
        <w:autoSpaceDN w:val="0"/>
        <w:adjustRightInd w:val="0"/>
        <w:spacing w:after="0" w:line="240" w:lineRule="auto"/>
        <w:rPr>
          <w:rFonts w:cstheme="minorHAnsi"/>
          <w:color w:val="000000" w:themeColor="text1"/>
        </w:rPr>
      </w:pPr>
    </w:p>
    <w:p w:rsidR="00EC78B2" w:rsidRPr="006163A5" w:rsidRDefault="00EC78B2" w:rsidP="00EC78B2">
      <w:pPr>
        <w:rPr>
          <w:rFonts w:asciiTheme="majorHAnsi" w:hAnsiTheme="majorHAnsi"/>
          <w:b/>
          <w:sz w:val="28"/>
          <w:szCs w:val="28"/>
        </w:rPr>
      </w:pPr>
      <w:r w:rsidRPr="004713EB">
        <w:rPr>
          <w:rFonts w:ascii="Arial" w:hAnsi="Arial" w:cs="Arial"/>
          <w:b/>
          <w:sz w:val="28"/>
          <w:szCs w:val="28"/>
        </w:rPr>
        <w:t>Approvals</w:t>
      </w:r>
    </w:p>
    <w:tbl>
      <w:tblPr>
        <w:tblStyle w:val="TableGrid"/>
        <w:tblW w:w="10065" w:type="dxa"/>
        <w:tblInd w:w="108" w:type="dxa"/>
        <w:tblLook w:val="0020" w:firstRow="1" w:lastRow="0" w:firstColumn="0" w:lastColumn="0" w:noHBand="0" w:noVBand="0"/>
      </w:tblPr>
      <w:tblGrid>
        <w:gridCol w:w="1287"/>
        <w:gridCol w:w="1559"/>
        <w:gridCol w:w="2116"/>
        <w:gridCol w:w="2835"/>
        <w:gridCol w:w="2268"/>
      </w:tblGrid>
      <w:tr w:rsidR="00EC78B2" w:rsidRPr="008E5EFB" w:rsidTr="006A3F5B">
        <w:tc>
          <w:tcPr>
            <w:tcW w:w="1287" w:type="dxa"/>
          </w:tcPr>
          <w:p w:rsidR="00EC78B2" w:rsidRPr="008E5EFB" w:rsidRDefault="00EC78B2" w:rsidP="006A3F5B">
            <w:pPr>
              <w:pStyle w:val="BodyText"/>
              <w:rPr>
                <w:b/>
              </w:rPr>
            </w:pPr>
            <w:r w:rsidRPr="008E5EFB">
              <w:rPr>
                <w:b/>
              </w:rPr>
              <w:t>Version Number</w:t>
            </w:r>
          </w:p>
        </w:tc>
        <w:tc>
          <w:tcPr>
            <w:tcW w:w="1559" w:type="dxa"/>
          </w:tcPr>
          <w:p w:rsidR="00EC78B2" w:rsidRPr="008E5EFB" w:rsidRDefault="00EC78B2" w:rsidP="006A3F5B">
            <w:pPr>
              <w:pStyle w:val="BodyText"/>
              <w:rPr>
                <w:b/>
              </w:rPr>
            </w:pPr>
            <w:r w:rsidRPr="008E5EFB">
              <w:rPr>
                <w:b/>
              </w:rPr>
              <w:t>Date</w:t>
            </w:r>
          </w:p>
        </w:tc>
        <w:tc>
          <w:tcPr>
            <w:tcW w:w="2116" w:type="dxa"/>
          </w:tcPr>
          <w:p w:rsidR="00EC78B2" w:rsidRPr="008E5EFB" w:rsidRDefault="00EC78B2" w:rsidP="006A3F5B">
            <w:pPr>
              <w:pStyle w:val="BodyText"/>
              <w:rPr>
                <w:b/>
              </w:rPr>
            </w:pPr>
            <w:r w:rsidRPr="008E5EFB">
              <w:rPr>
                <w:b/>
              </w:rPr>
              <w:t>Created/ Reviewed by</w:t>
            </w:r>
          </w:p>
        </w:tc>
        <w:tc>
          <w:tcPr>
            <w:tcW w:w="2835" w:type="dxa"/>
          </w:tcPr>
          <w:p w:rsidR="00EC78B2" w:rsidRPr="008E5EFB" w:rsidRDefault="00EC78B2" w:rsidP="006A3F5B">
            <w:pPr>
              <w:pStyle w:val="BodyText"/>
              <w:rPr>
                <w:b/>
              </w:rPr>
            </w:pPr>
            <w:r w:rsidRPr="008E5EFB">
              <w:rPr>
                <w:b/>
              </w:rPr>
              <w:t>Issued To</w:t>
            </w:r>
          </w:p>
        </w:tc>
        <w:tc>
          <w:tcPr>
            <w:tcW w:w="2268" w:type="dxa"/>
          </w:tcPr>
          <w:p w:rsidR="00EC78B2" w:rsidRPr="008E5EFB" w:rsidRDefault="00EC78B2" w:rsidP="006A3F5B">
            <w:pPr>
              <w:pStyle w:val="BodyText"/>
              <w:rPr>
                <w:b/>
              </w:rPr>
            </w:pPr>
            <w:r w:rsidRPr="008E5EFB">
              <w:rPr>
                <w:b/>
              </w:rPr>
              <w:t>Purpose/Outcome</w:t>
            </w:r>
          </w:p>
        </w:tc>
      </w:tr>
      <w:tr w:rsidR="00EC78B2" w:rsidRPr="006D202C" w:rsidTr="006A3F5B">
        <w:tc>
          <w:tcPr>
            <w:tcW w:w="1287"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1.0</w:t>
            </w:r>
          </w:p>
        </w:tc>
        <w:tc>
          <w:tcPr>
            <w:tcW w:w="1559"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29-10-2009</w:t>
            </w:r>
          </w:p>
        </w:tc>
        <w:tc>
          <w:tcPr>
            <w:tcW w:w="2116"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Chris Eddy</w:t>
            </w:r>
          </w:p>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(Policy inception)</w:t>
            </w:r>
          </w:p>
        </w:tc>
        <w:tc>
          <w:tcPr>
            <w:tcW w:w="2835"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IT CDST and Consultative Committee</w:t>
            </w:r>
          </w:p>
        </w:tc>
        <w:tc>
          <w:tcPr>
            <w:tcW w:w="2268"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Endorsed</w:t>
            </w:r>
          </w:p>
        </w:tc>
      </w:tr>
      <w:tr w:rsidR="00EC78B2" w:rsidRPr="006D202C" w:rsidTr="006A3F5B">
        <w:tc>
          <w:tcPr>
            <w:tcW w:w="1287" w:type="dxa"/>
          </w:tcPr>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1.</w:t>
            </w:r>
            <w:r w:rsidR="00A47BDA">
              <w:rPr>
                <w:rFonts w:cstheme="minorHAnsi"/>
                <w:color w:val="000000" w:themeColor="text1"/>
              </w:rPr>
              <w:t>2</w:t>
            </w:r>
          </w:p>
        </w:tc>
        <w:tc>
          <w:tcPr>
            <w:tcW w:w="1559" w:type="dxa"/>
          </w:tcPr>
          <w:p w:rsidR="00EC78B2" w:rsidRPr="006D202C" w:rsidRDefault="00725EAC" w:rsidP="00725EAC">
            <w:pPr>
              <w:autoSpaceDE w:val="0"/>
              <w:autoSpaceDN w:val="0"/>
              <w:adjustRightInd w:val="0"/>
              <w:spacing w:after="0"/>
              <w:rPr>
                <w:rFonts w:cstheme="minorHAnsi"/>
                <w:color w:val="000000" w:themeColor="text1"/>
              </w:rPr>
            </w:pPr>
            <w:r>
              <w:rPr>
                <w:rFonts w:cstheme="minorHAnsi"/>
                <w:color w:val="000000" w:themeColor="text1"/>
              </w:rPr>
              <w:t>23-02</w:t>
            </w:r>
            <w:r w:rsidR="00EC78B2" w:rsidRPr="006D202C">
              <w:rPr>
                <w:rFonts w:cstheme="minorHAnsi"/>
                <w:color w:val="000000" w:themeColor="text1"/>
              </w:rPr>
              <w:t>-</w:t>
            </w:r>
            <w:r w:rsidR="00A47BDA">
              <w:rPr>
                <w:rFonts w:cstheme="minorHAnsi"/>
                <w:color w:val="000000" w:themeColor="text1"/>
              </w:rPr>
              <w:t>2016</w:t>
            </w:r>
          </w:p>
        </w:tc>
        <w:tc>
          <w:tcPr>
            <w:tcW w:w="2116" w:type="dxa"/>
          </w:tcPr>
          <w:p w:rsidR="00A47BDA" w:rsidRDefault="00A47BDA" w:rsidP="006A3F5B">
            <w:pPr>
              <w:autoSpaceDE w:val="0"/>
              <w:autoSpaceDN w:val="0"/>
              <w:adjustRightInd w:val="0"/>
              <w:spacing w:after="0"/>
              <w:rPr>
                <w:rFonts w:cstheme="minorHAnsi"/>
                <w:color w:val="000000" w:themeColor="text1"/>
              </w:rPr>
            </w:pPr>
            <w:r>
              <w:rPr>
                <w:rFonts w:cstheme="minorHAnsi"/>
                <w:color w:val="000000" w:themeColor="text1"/>
              </w:rPr>
              <w:t>Julie Brne</w:t>
            </w:r>
          </w:p>
          <w:p w:rsidR="00EC78B2" w:rsidRPr="006D202C" w:rsidRDefault="00EC78B2" w:rsidP="006A3F5B">
            <w:pPr>
              <w:autoSpaceDE w:val="0"/>
              <w:autoSpaceDN w:val="0"/>
              <w:adjustRightInd w:val="0"/>
              <w:spacing w:after="0"/>
              <w:rPr>
                <w:rFonts w:cstheme="minorHAnsi"/>
                <w:color w:val="000000" w:themeColor="text1"/>
              </w:rPr>
            </w:pPr>
            <w:r w:rsidRPr="006D202C">
              <w:rPr>
                <w:rFonts w:cstheme="minorHAnsi"/>
                <w:color w:val="000000" w:themeColor="text1"/>
              </w:rPr>
              <w:t>Roger Verwey</w:t>
            </w:r>
          </w:p>
        </w:tc>
        <w:tc>
          <w:tcPr>
            <w:tcW w:w="2835" w:type="dxa"/>
          </w:tcPr>
          <w:p w:rsidR="00EC78B2" w:rsidRPr="006D202C" w:rsidRDefault="00A47BDA" w:rsidP="00EC5DD1">
            <w:pPr>
              <w:autoSpaceDE w:val="0"/>
              <w:autoSpaceDN w:val="0"/>
              <w:adjustRightInd w:val="0"/>
              <w:spacing w:after="0"/>
              <w:rPr>
                <w:rFonts w:cstheme="minorHAnsi"/>
                <w:color w:val="000000" w:themeColor="text1"/>
              </w:rPr>
            </w:pPr>
            <w:r w:rsidRPr="006D202C">
              <w:rPr>
                <w:rFonts w:cstheme="minorHAnsi"/>
                <w:color w:val="000000" w:themeColor="text1"/>
              </w:rPr>
              <w:t>IT Steering Committee</w:t>
            </w:r>
            <w:r>
              <w:rPr>
                <w:rFonts w:cstheme="minorHAnsi"/>
                <w:color w:val="000000" w:themeColor="text1"/>
              </w:rPr>
              <w:t xml:space="preserve"> </w:t>
            </w:r>
          </w:p>
        </w:tc>
        <w:tc>
          <w:tcPr>
            <w:tcW w:w="2268" w:type="dxa"/>
          </w:tcPr>
          <w:p w:rsidR="00EC78B2" w:rsidRPr="006D202C" w:rsidRDefault="00EC5DD1" w:rsidP="006A3F5B">
            <w:pPr>
              <w:autoSpaceDE w:val="0"/>
              <w:autoSpaceDN w:val="0"/>
              <w:adjustRightInd w:val="0"/>
              <w:spacing w:after="0"/>
              <w:rPr>
                <w:rFonts w:cstheme="minorHAnsi"/>
                <w:color w:val="000000" w:themeColor="text1"/>
              </w:rPr>
            </w:pPr>
            <w:r>
              <w:rPr>
                <w:rFonts w:cstheme="minorHAnsi"/>
                <w:color w:val="000000" w:themeColor="text1"/>
              </w:rPr>
              <w:t>Feedback received and included in revised policy</w:t>
            </w:r>
          </w:p>
        </w:tc>
      </w:tr>
      <w:tr w:rsidR="00EC5DD1" w:rsidRPr="006D202C" w:rsidTr="006A3F5B">
        <w:tc>
          <w:tcPr>
            <w:tcW w:w="1287" w:type="dxa"/>
          </w:tcPr>
          <w:p w:rsidR="00EC5DD1" w:rsidRPr="006D202C" w:rsidRDefault="00EC5DD1" w:rsidP="006A3F5B">
            <w:pPr>
              <w:autoSpaceDE w:val="0"/>
              <w:autoSpaceDN w:val="0"/>
              <w:adjustRightInd w:val="0"/>
              <w:spacing w:after="0"/>
              <w:rPr>
                <w:rFonts w:cstheme="minorHAnsi"/>
                <w:color w:val="000000" w:themeColor="text1"/>
              </w:rPr>
            </w:pPr>
            <w:r>
              <w:rPr>
                <w:rFonts w:cstheme="minorHAnsi"/>
                <w:color w:val="000000" w:themeColor="text1"/>
              </w:rPr>
              <w:t>1.2</w:t>
            </w:r>
          </w:p>
        </w:tc>
        <w:tc>
          <w:tcPr>
            <w:tcW w:w="1559" w:type="dxa"/>
          </w:tcPr>
          <w:p w:rsidR="00EC5DD1" w:rsidRDefault="00EC5DD1" w:rsidP="00725EAC">
            <w:pPr>
              <w:autoSpaceDE w:val="0"/>
              <w:autoSpaceDN w:val="0"/>
              <w:adjustRightInd w:val="0"/>
              <w:spacing w:after="0"/>
              <w:rPr>
                <w:rFonts w:cstheme="minorHAnsi"/>
                <w:color w:val="000000" w:themeColor="text1"/>
              </w:rPr>
            </w:pPr>
            <w:r>
              <w:rPr>
                <w:rFonts w:cstheme="minorHAnsi"/>
                <w:color w:val="000000" w:themeColor="text1"/>
              </w:rPr>
              <w:t>17-03-2016</w:t>
            </w:r>
          </w:p>
        </w:tc>
        <w:tc>
          <w:tcPr>
            <w:tcW w:w="2116" w:type="dxa"/>
          </w:tcPr>
          <w:p w:rsidR="00EC5DD1" w:rsidRDefault="00EC5DD1" w:rsidP="006A3F5B">
            <w:pPr>
              <w:autoSpaceDE w:val="0"/>
              <w:autoSpaceDN w:val="0"/>
              <w:adjustRightInd w:val="0"/>
              <w:spacing w:after="0"/>
              <w:rPr>
                <w:rFonts w:cstheme="minorHAnsi"/>
                <w:color w:val="000000" w:themeColor="text1"/>
              </w:rPr>
            </w:pPr>
            <w:r>
              <w:rPr>
                <w:rFonts w:cstheme="minorHAnsi"/>
                <w:color w:val="000000" w:themeColor="text1"/>
              </w:rPr>
              <w:t>Julie Brne</w:t>
            </w:r>
          </w:p>
          <w:p w:rsidR="00EC5DD1" w:rsidRDefault="00EC5DD1" w:rsidP="006A3F5B">
            <w:pPr>
              <w:autoSpaceDE w:val="0"/>
              <w:autoSpaceDN w:val="0"/>
              <w:adjustRightInd w:val="0"/>
              <w:spacing w:after="0"/>
              <w:rPr>
                <w:rFonts w:cstheme="minorHAnsi"/>
                <w:color w:val="000000" w:themeColor="text1"/>
              </w:rPr>
            </w:pPr>
            <w:r>
              <w:rPr>
                <w:rFonts w:cstheme="minorHAnsi"/>
                <w:color w:val="000000" w:themeColor="text1"/>
              </w:rPr>
              <w:t>Roger Verwey</w:t>
            </w:r>
          </w:p>
        </w:tc>
        <w:tc>
          <w:tcPr>
            <w:tcW w:w="2835" w:type="dxa"/>
          </w:tcPr>
          <w:p w:rsidR="00EC5DD1" w:rsidRPr="006D202C" w:rsidRDefault="00EC5DD1" w:rsidP="006A3F5B">
            <w:pPr>
              <w:autoSpaceDE w:val="0"/>
              <w:autoSpaceDN w:val="0"/>
              <w:adjustRightInd w:val="0"/>
              <w:spacing w:after="0"/>
              <w:rPr>
                <w:rFonts w:cstheme="minorHAnsi"/>
                <w:color w:val="000000" w:themeColor="text1"/>
              </w:rPr>
            </w:pPr>
            <w:r>
              <w:rPr>
                <w:rFonts w:cstheme="minorHAnsi"/>
                <w:color w:val="000000" w:themeColor="text1"/>
              </w:rPr>
              <w:t>CMT</w:t>
            </w:r>
          </w:p>
        </w:tc>
        <w:tc>
          <w:tcPr>
            <w:tcW w:w="2268" w:type="dxa"/>
          </w:tcPr>
          <w:p w:rsidR="00EC5DD1" w:rsidRDefault="00EC5DD1" w:rsidP="006A3F5B">
            <w:pPr>
              <w:autoSpaceDE w:val="0"/>
              <w:autoSpaceDN w:val="0"/>
              <w:adjustRightInd w:val="0"/>
              <w:spacing w:after="0"/>
              <w:rPr>
                <w:rFonts w:cstheme="minorHAnsi"/>
                <w:color w:val="000000" w:themeColor="text1"/>
              </w:rPr>
            </w:pPr>
            <w:r>
              <w:rPr>
                <w:rFonts w:cstheme="minorHAnsi"/>
                <w:color w:val="000000" w:themeColor="text1"/>
              </w:rPr>
              <w:t>Endorsed</w:t>
            </w:r>
          </w:p>
        </w:tc>
      </w:tr>
    </w:tbl>
    <w:p w:rsidR="00EC78B2" w:rsidRDefault="00EC78B2" w:rsidP="00EC78B2">
      <w:pPr>
        <w:spacing w:after="200"/>
        <w:rPr>
          <w:rFonts w:cs="Arial"/>
          <w:szCs w:val="24"/>
        </w:rPr>
      </w:pPr>
    </w:p>
    <w:p w:rsidR="00EC78B2" w:rsidRPr="00B674A3" w:rsidRDefault="00EC78B2" w:rsidP="00B66AEF"/>
    <w:p w:rsidR="0001297E" w:rsidRPr="00B26E72" w:rsidRDefault="0001297E" w:rsidP="0001297E">
      <w:pPr>
        <w:jc w:val="center"/>
        <w:rPr>
          <w:i/>
        </w:rPr>
      </w:pPr>
      <w:r w:rsidRPr="00B26E72">
        <w:rPr>
          <w:i/>
        </w:rPr>
        <w:t>- End of Document -</w:t>
      </w:r>
    </w:p>
    <w:sectPr w:rsidR="0001297E" w:rsidRPr="00B26E72" w:rsidSect="00572B65">
      <w:headerReference w:type="even" r:id="rId10"/>
      <w:headerReference w:type="default" r:id="rId11"/>
      <w:footerReference w:type="even" r:id="rId12"/>
      <w:footerReference w:type="default" r:id="rId13"/>
      <w:pgSz w:w="12240" w:h="15840" w:code="1"/>
      <w:pgMar w:top="1134" w:right="1440" w:bottom="1134"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50C" w:rsidRDefault="0031550C" w:rsidP="00041D7A">
      <w:pPr>
        <w:spacing w:after="0" w:line="240" w:lineRule="auto"/>
      </w:pPr>
      <w:r>
        <w:separator/>
      </w:r>
    </w:p>
    <w:p w:rsidR="0031550C" w:rsidRDefault="0031550C"/>
    <w:p w:rsidR="0031550C" w:rsidRDefault="0031550C"/>
  </w:endnote>
  <w:endnote w:type="continuationSeparator" w:id="0">
    <w:p w:rsidR="0031550C" w:rsidRDefault="0031550C" w:rsidP="00041D7A">
      <w:pPr>
        <w:spacing w:after="0" w:line="240" w:lineRule="auto"/>
      </w:pPr>
      <w:r>
        <w:continuationSeparator/>
      </w:r>
    </w:p>
    <w:p w:rsidR="0031550C" w:rsidRDefault="0031550C"/>
    <w:p w:rsidR="0031550C" w:rsidRDefault="0031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Bold">
    <w:charset w:val="00"/>
    <w:family w:val="auto"/>
    <w:pitch w:val="variable"/>
    <w:sig w:usb0="E50002FF" w:usb1="500079DB" w:usb2="00001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DA" w:rsidRDefault="005809DA">
    <w:pPr>
      <w:pStyle w:val="Footer"/>
    </w:pPr>
  </w:p>
  <w:p w:rsidR="005809DA" w:rsidRDefault="00580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DA" w:rsidRDefault="005809DA" w:rsidP="006163A5">
    <w:pPr>
      <w:pStyle w:val="Footer"/>
      <w:pBdr>
        <w:top w:val="single" w:sz="4" w:space="0" w:color="auto"/>
      </w:pBdr>
      <w:jc w:val="right"/>
      <w:rPr>
        <w:sz w:val="16"/>
        <w:szCs w:val="16"/>
      </w:rPr>
    </w:pPr>
  </w:p>
  <w:p w:rsidR="005809DA" w:rsidRPr="00F66E2D" w:rsidRDefault="005809DA" w:rsidP="00F66E2D">
    <w:pPr>
      <w:pStyle w:val="Footer"/>
      <w:pBdr>
        <w:top w:val="single" w:sz="4" w:space="0" w:color="auto"/>
      </w:pBdr>
      <w:jc w:val="right"/>
      <w:rPr>
        <w:sz w:val="16"/>
        <w:szCs w:val="16"/>
      </w:rPr>
    </w:pPr>
    <w:r>
      <w:rPr>
        <w:sz w:val="16"/>
        <w:szCs w:val="16"/>
      </w:rPr>
      <w:tab/>
      <w:t xml:space="preserve">115 Civic Parade (PO Box 21) </w:t>
    </w:r>
    <w:r w:rsidRPr="004C4E6A">
      <w:rPr>
        <w:sz w:val="16"/>
        <w:szCs w:val="16"/>
      </w:rPr>
      <w:t>Altona VIC 3018</w:t>
    </w:r>
    <w:r>
      <w:rPr>
        <w:sz w:val="16"/>
        <w:szCs w:val="16"/>
      </w:rPr>
      <w:t xml:space="preserve"> Telephone (03) 9932 1000 F</w:t>
    </w:r>
    <w:r w:rsidRPr="004C4E6A">
      <w:rPr>
        <w:sz w:val="16"/>
        <w:szCs w:val="16"/>
      </w:rPr>
      <w:t xml:space="preserve">ax: </w:t>
    </w:r>
    <w:r>
      <w:rPr>
        <w:sz w:val="16"/>
        <w:szCs w:val="16"/>
      </w:rPr>
      <w:t xml:space="preserve">(03) </w:t>
    </w:r>
    <w:r w:rsidRPr="004C4E6A">
      <w:rPr>
        <w:sz w:val="16"/>
        <w:szCs w:val="16"/>
      </w:rPr>
      <w:t>9932 1039</w:t>
    </w:r>
    <w:r w:rsidRPr="004C4E6A">
      <w:t xml:space="preserve"> </w:t>
    </w:r>
    <w:hyperlink r:id="rId1" w:history="1">
      <w:r w:rsidRPr="008947FC">
        <w:rPr>
          <w:rStyle w:val="Hyperlink"/>
          <w:sz w:val="16"/>
          <w:szCs w:val="16"/>
        </w:rPr>
        <w:t>www.hobsonsbay.vic.gov.au</w:t>
      </w:r>
    </w:hyperlink>
    <w:r>
      <w:rPr>
        <w:sz w:val="16"/>
        <w:szCs w:val="16"/>
      </w:rPr>
      <w:t xml:space="preserve">   (</w:t>
    </w:r>
    <w:r>
      <w:rPr>
        <w:sz w:val="16"/>
        <w:szCs w:val="16"/>
      </w:rPr>
      <w:tab/>
    </w:r>
    <w:sdt>
      <w:sdtPr>
        <w:rPr>
          <w:sz w:val="16"/>
          <w:szCs w:val="16"/>
        </w:rPr>
        <w:id w:val="565050523"/>
        <w:docPartObj>
          <w:docPartGallery w:val="Page Numbers (Top of Page)"/>
          <w:docPartUnique/>
        </w:docPartObj>
      </w:sdtPr>
      <w:sdtEndPr/>
      <w:sdtContent>
        <w:r w:rsidRPr="005D750D">
          <w:rPr>
            <w:sz w:val="16"/>
            <w:szCs w:val="16"/>
          </w:rPr>
          <w:t xml:space="preserve">Page </w:t>
        </w:r>
        <w:r w:rsidR="003F25E6" w:rsidRPr="005D750D">
          <w:rPr>
            <w:b/>
            <w:sz w:val="16"/>
            <w:szCs w:val="16"/>
          </w:rPr>
          <w:fldChar w:fldCharType="begin"/>
        </w:r>
        <w:r w:rsidRPr="005D750D">
          <w:rPr>
            <w:b/>
            <w:sz w:val="16"/>
            <w:szCs w:val="16"/>
          </w:rPr>
          <w:instrText xml:space="preserve"> PAGE </w:instrText>
        </w:r>
        <w:r w:rsidR="003F25E6" w:rsidRPr="005D750D">
          <w:rPr>
            <w:b/>
            <w:sz w:val="16"/>
            <w:szCs w:val="16"/>
          </w:rPr>
          <w:fldChar w:fldCharType="separate"/>
        </w:r>
        <w:r w:rsidR="000C59AA">
          <w:rPr>
            <w:b/>
            <w:noProof/>
            <w:sz w:val="16"/>
            <w:szCs w:val="16"/>
          </w:rPr>
          <w:t>4</w:t>
        </w:r>
        <w:r w:rsidR="003F25E6" w:rsidRPr="005D750D">
          <w:rPr>
            <w:b/>
            <w:sz w:val="16"/>
            <w:szCs w:val="16"/>
          </w:rPr>
          <w:fldChar w:fldCharType="end"/>
        </w:r>
        <w:r w:rsidRPr="005D750D">
          <w:rPr>
            <w:sz w:val="16"/>
            <w:szCs w:val="16"/>
          </w:rPr>
          <w:t xml:space="preserve"> of </w:t>
        </w:r>
        <w:r w:rsidR="003F25E6" w:rsidRPr="005D750D">
          <w:rPr>
            <w:b/>
            <w:sz w:val="16"/>
            <w:szCs w:val="16"/>
          </w:rPr>
          <w:fldChar w:fldCharType="begin"/>
        </w:r>
        <w:r w:rsidRPr="005D750D">
          <w:rPr>
            <w:b/>
            <w:sz w:val="16"/>
            <w:szCs w:val="16"/>
          </w:rPr>
          <w:instrText xml:space="preserve"> NUMPAGES  </w:instrText>
        </w:r>
        <w:r w:rsidR="003F25E6" w:rsidRPr="005D750D">
          <w:rPr>
            <w:b/>
            <w:sz w:val="16"/>
            <w:szCs w:val="16"/>
          </w:rPr>
          <w:fldChar w:fldCharType="separate"/>
        </w:r>
        <w:r w:rsidR="000C59AA">
          <w:rPr>
            <w:b/>
            <w:noProof/>
            <w:sz w:val="16"/>
            <w:szCs w:val="16"/>
          </w:rPr>
          <w:t>11</w:t>
        </w:r>
        <w:r w:rsidR="003F25E6" w:rsidRPr="005D750D">
          <w:rPr>
            <w:b/>
            <w:sz w:val="16"/>
            <w:szCs w:val="16"/>
          </w:rPr>
          <w:fldChar w:fldCharType="end"/>
        </w:r>
        <w:r>
          <w:rPr>
            <w:b/>
            <w:sz w:val="16"/>
            <w:szCs w:val="1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50C" w:rsidRDefault="0031550C" w:rsidP="00041D7A">
      <w:pPr>
        <w:spacing w:after="0" w:line="240" w:lineRule="auto"/>
      </w:pPr>
      <w:r>
        <w:separator/>
      </w:r>
    </w:p>
    <w:p w:rsidR="0031550C" w:rsidRDefault="0031550C"/>
    <w:p w:rsidR="0031550C" w:rsidRDefault="0031550C"/>
  </w:footnote>
  <w:footnote w:type="continuationSeparator" w:id="0">
    <w:p w:rsidR="0031550C" w:rsidRDefault="0031550C" w:rsidP="00041D7A">
      <w:pPr>
        <w:spacing w:after="0" w:line="240" w:lineRule="auto"/>
      </w:pPr>
      <w:r>
        <w:continuationSeparator/>
      </w:r>
    </w:p>
    <w:p w:rsidR="0031550C" w:rsidRDefault="0031550C"/>
    <w:p w:rsidR="0031550C" w:rsidRDefault="00315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DA" w:rsidRDefault="005809DA">
    <w:pPr>
      <w:pStyle w:val="Header"/>
    </w:pPr>
  </w:p>
  <w:p w:rsidR="005809DA" w:rsidRDefault="005809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9DA" w:rsidRDefault="005809DA">
    <w:pPr>
      <w:pStyle w:val="Header"/>
    </w:pPr>
  </w:p>
  <w:p w:rsidR="005809DA" w:rsidRDefault="00580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A1"/>
    <w:multiLevelType w:val="hybridMultilevel"/>
    <w:tmpl w:val="5E4AB0DC"/>
    <w:lvl w:ilvl="0" w:tplc="8FBCAF4C">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
    <w:nsid w:val="0A3C6259"/>
    <w:multiLevelType w:val="hybridMultilevel"/>
    <w:tmpl w:val="91B65F7E"/>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
    <w:nsid w:val="1DF1585A"/>
    <w:multiLevelType w:val="hybridMultilevel"/>
    <w:tmpl w:val="847ACF98"/>
    <w:lvl w:ilvl="0" w:tplc="813AF018">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
    <w:nsid w:val="20952806"/>
    <w:multiLevelType w:val="hybridMultilevel"/>
    <w:tmpl w:val="DE7CC848"/>
    <w:lvl w:ilvl="0" w:tplc="FA08CAB2">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219E59F2"/>
    <w:multiLevelType w:val="hybridMultilevel"/>
    <w:tmpl w:val="CD4208E8"/>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5">
    <w:nsid w:val="32C20701"/>
    <w:multiLevelType w:val="hybridMultilevel"/>
    <w:tmpl w:val="BEFAF6A0"/>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nsid w:val="38B25599"/>
    <w:multiLevelType w:val="hybridMultilevel"/>
    <w:tmpl w:val="344E1B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912DFE"/>
    <w:multiLevelType w:val="hybridMultilevel"/>
    <w:tmpl w:val="501C9E6C"/>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8">
    <w:nsid w:val="4B6C44FB"/>
    <w:multiLevelType w:val="hybridMultilevel"/>
    <w:tmpl w:val="F3524CFA"/>
    <w:lvl w:ilvl="0" w:tplc="A3C08458">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nsid w:val="4E542035"/>
    <w:multiLevelType w:val="hybridMultilevel"/>
    <w:tmpl w:val="7BB8B110"/>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0">
    <w:nsid w:val="500F17A6"/>
    <w:multiLevelType w:val="hybridMultilevel"/>
    <w:tmpl w:val="F580E5D4"/>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1">
    <w:nsid w:val="69065DD2"/>
    <w:multiLevelType w:val="hybridMultilevel"/>
    <w:tmpl w:val="9E4EC3E6"/>
    <w:lvl w:ilvl="0" w:tplc="F9C6D648">
      <w:start w:val="1"/>
      <w:numFmt w:val="lowerLetter"/>
      <w:pStyle w:val="ListParagraph"/>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nsid w:val="6DA51E9E"/>
    <w:multiLevelType w:val="hybridMultilevel"/>
    <w:tmpl w:val="9B3E2790"/>
    <w:lvl w:ilvl="0" w:tplc="0C090019">
      <w:start w:val="1"/>
      <w:numFmt w:val="lowerLetter"/>
      <w:lvlText w:val="%1."/>
      <w:lvlJc w:val="left"/>
      <w:pPr>
        <w:ind w:left="1152" w:hanging="360"/>
      </w:p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3">
    <w:nsid w:val="6E325077"/>
    <w:multiLevelType w:val="multilevel"/>
    <w:tmpl w:val="CF64CE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1" w:hanging="851"/>
      </w:pPr>
      <w:rPr>
        <w:rFonts w:hint="default"/>
      </w:rPr>
    </w:lvl>
    <w:lvl w:ilvl="2">
      <w:start w:val="1"/>
      <w:numFmt w:val="decimal"/>
      <w:pStyle w:val="Customnumbers"/>
      <w:lvlText w:val="%1.%2.%3"/>
      <w:lvlJc w:val="left"/>
      <w:pPr>
        <w:ind w:left="851" w:hanging="851"/>
      </w:pPr>
      <w:rPr>
        <w:rFonts w:hint="default"/>
      </w:rPr>
    </w:lvl>
    <w:lvl w:ilvl="3">
      <w:start w:val="1"/>
      <w:numFmt w:val="bullet"/>
      <w:lvlText w:val=""/>
      <w:lvlJc w:val="left"/>
      <w:pPr>
        <w:ind w:left="2140" w:hanging="864"/>
      </w:pPr>
      <w:rPr>
        <w:rFonts w:ascii="Symbol" w:hAnsi="Symbol"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0BA507F"/>
    <w:multiLevelType w:val="hybridMultilevel"/>
    <w:tmpl w:val="A8AC7762"/>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nsid w:val="75116938"/>
    <w:multiLevelType w:val="hybridMultilevel"/>
    <w:tmpl w:val="B7D016A0"/>
    <w:lvl w:ilvl="0" w:tplc="0C090019">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13"/>
  </w:num>
  <w:num w:numId="2">
    <w:abstractNumId w:val="3"/>
  </w:num>
  <w:num w:numId="3">
    <w:abstractNumId w:val="12"/>
  </w:num>
  <w:num w:numId="4">
    <w:abstractNumId w:val="0"/>
  </w:num>
  <w:num w:numId="5">
    <w:abstractNumId w:val="7"/>
  </w:num>
  <w:num w:numId="6">
    <w:abstractNumId w:val="1"/>
  </w:num>
  <w:num w:numId="7">
    <w:abstractNumId w:val="6"/>
  </w:num>
  <w:num w:numId="8">
    <w:abstractNumId w:val="8"/>
  </w:num>
  <w:num w:numId="9">
    <w:abstractNumId w:val="4"/>
  </w:num>
  <w:num w:numId="10">
    <w:abstractNumId w:val="2"/>
  </w:num>
  <w:num w:numId="11">
    <w:abstractNumId w:val="14"/>
  </w:num>
  <w:num w:numId="12">
    <w:abstractNumId w:val="11"/>
  </w:num>
  <w:num w:numId="13">
    <w:abstractNumId w:val="9"/>
  </w:num>
  <w:num w:numId="14">
    <w:abstractNumId w:val="5"/>
  </w:num>
  <w:num w:numId="15">
    <w:abstractNumId w:val="10"/>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5A"/>
    <w:rsid w:val="000039D4"/>
    <w:rsid w:val="000119FB"/>
    <w:rsid w:val="00011E6E"/>
    <w:rsid w:val="0001297E"/>
    <w:rsid w:val="000161A6"/>
    <w:rsid w:val="00021CA8"/>
    <w:rsid w:val="00041D7A"/>
    <w:rsid w:val="000421DA"/>
    <w:rsid w:val="00046C0A"/>
    <w:rsid w:val="00046F1F"/>
    <w:rsid w:val="000479BF"/>
    <w:rsid w:val="000511EE"/>
    <w:rsid w:val="000534AC"/>
    <w:rsid w:val="00072470"/>
    <w:rsid w:val="00075E9B"/>
    <w:rsid w:val="00077BB5"/>
    <w:rsid w:val="00086191"/>
    <w:rsid w:val="00091374"/>
    <w:rsid w:val="00094820"/>
    <w:rsid w:val="0009759A"/>
    <w:rsid w:val="000A257F"/>
    <w:rsid w:val="000A330C"/>
    <w:rsid w:val="000A405E"/>
    <w:rsid w:val="000B64C1"/>
    <w:rsid w:val="000C3AF7"/>
    <w:rsid w:val="000C418F"/>
    <w:rsid w:val="000C59AA"/>
    <w:rsid w:val="000D5051"/>
    <w:rsid w:val="000D5784"/>
    <w:rsid w:val="000D5CAA"/>
    <w:rsid w:val="000E5FB7"/>
    <w:rsid w:val="000F21BC"/>
    <w:rsid w:val="000F3F58"/>
    <w:rsid w:val="000F44C4"/>
    <w:rsid w:val="000F57AE"/>
    <w:rsid w:val="0010487A"/>
    <w:rsid w:val="00107B89"/>
    <w:rsid w:val="001115E7"/>
    <w:rsid w:val="0011182D"/>
    <w:rsid w:val="00113A9D"/>
    <w:rsid w:val="00116A59"/>
    <w:rsid w:val="00116CA3"/>
    <w:rsid w:val="00117175"/>
    <w:rsid w:val="00121DDD"/>
    <w:rsid w:val="00121F7D"/>
    <w:rsid w:val="00126086"/>
    <w:rsid w:val="001312E6"/>
    <w:rsid w:val="001417D9"/>
    <w:rsid w:val="00145772"/>
    <w:rsid w:val="001534DD"/>
    <w:rsid w:val="001547E2"/>
    <w:rsid w:val="001619B8"/>
    <w:rsid w:val="00164207"/>
    <w:rsid w:val="00165711"/>
    <w:rsid w:val="00167553"/>
    <w:rsid w:val="00170D26"/>
    <w:rsid w:val="00176B1D"/>
    <w:rsid w:val="00180392"/>
    <w:rsid w:val="001820A0"/>
    <w:rsid w:val="00184A69"/>
    <w:rsid w:val="00187B44"/>
    <w:rsid w:val="0019507A"/>
    <w:rsid w:val="001963FD"/>
    <w:rsid w:val="001A1296"/>
    <w:rsid w:val="001A45AF"/>
    <w:rsid w:val="001A4F67"/>
    <w:rsid w:val="001A5F5A"/>
    <w:rsid w:val="001A7BB8"/>
    <w:rsid w:val="001B076D"/>
    <w:rsid w:val="001B3213"/>
    <w:rsid w:val="001B3385"/>
    <w:rsid w:val="001B61A2"/>
    <w:rsid w:val="001C264A"/>
    <w:rsid w:val="001C5D2C"/>
    <w:rsid w:val="001C75CB"/>
    <w:rsid w:val="001D3B54"/>
    <w:rsid w:val="001E4813"/>
    <w:rsid w:val="001E7871"/>
    <w:rsid w:val="001F0AD4"/>
    <w:rsid w:val="001F2CD8"/>
    <w:rsid w:val="00204C1B"/>
    <w:rsid w:val="00206829"/>
    <w:rsid w:val="00212FA6"/>
    <w:rsid w:val="00214E60"/>
    <w:rsid w:val="002237A7"/>
    <w:rsid w:val="0023106E"/>
    <w:rsid w:val="00233042"/>
    <w:rsid w:val="00234083"/>
    <w:rsid w:val="00237C95"/>
    <w:rsid w:val="002417A7"/>
    <w:rsid w:val="00242122"/>
    <w:rsid w:val="00247D40"/>
    <w:rsid w:val="00250EEC"/>
    <w:rsid w:val="0025483F"/>
    <w:rsid w:val="0025766D"/>
    <w:rsid w:val="0026318C"/>
    <w:rsid w:val="00263DF8"/>
    <w:rsid w:val="002644AB"/>
    <w:rsid w:val="00265C80"/>
    <w:rsid w:val="00270246"/>
    <w:rsid w:val="0027232D"/>
    <w:rsid w:val="00276250"/>
    <w:rsid w:val="002856E1"/>
    <w:rsid w:val="00287907"/>
    <w:rsid w:val="00290B55"/>
    <w:rsid w:val="002A14D6"/>
    <w:rsid w:val="002A3AD7"/>
    <w:rsid w:val="002B4E73"/>
    <w:rsid w:val="002C1729"/>
    <w:rsid w:val="002C203B"/>
    <w:rsid w:val="002C5FB4"/>
    <w:rsid w:val="002C70F9"/>
    <w:rsid w:val="002C7ACF"/>
    <w:rsid w:val="002D0DA8"/>
    <w:rsid w:val="002D12A6"/>
    <w:rsid w:val="002D48FD"/>
    <w:rsid w:val="002E09C3"/>
    <w:rsid w:val="002F73E9"/>
    <w:rsid w:val="00302BA4"/>
    <w:rsid w:val="00307721"/>
    <w:rsid w:val="00307874"/>
    <w:rsid w:val="00312643"/>
    <w:rsid w:val="003126FE"/>
    <w:rsid w:val="0031550C"/>
    <w:rsid w:val="00322AFE"/>
    <w:rsid w:val="003250CF"/>
    <w:rsid w:val="00332DA4"/>
    <w:rsid w:val="0033543C"/>
    <w:rsid w:val="00341C58"/>
    <w:rsid w:val="00346283"/>
    <w:rsid w:val="00351405"/>
    <w:rsid w:val="003529B2"/>
    <w:rsid w:val="00353F2D"/>
    <w:rsid w:val="003566C2"/>
    <w:rsid w:val="0037089F"/>
    <w:rsid w:val="00370A1B"/>
    <w:rsid w:val="00371423"/>
    <w:rsid w:val="00381E8A"/>
    <w:rsid w:val="0038264F"/>
    <w:rsid w:val="0039122F"/>
    <w:rsid w:val="00391D0D"/>
    <w:rsid w:val="003A452F"/>
    <w:rsid w:val="003A53F0"/>
    <w:rsid w:val="003A6857"/>
    <w:rsid w:val="003A693C"/>
    <w:rsid w:val="003A73F9"/>
    <w:rsid w:val="003B27EC"/>
    <w:rsid w:val="003B2CD3"/>
    <w:rsid w:val="003B4E74"/>
    <w:rsid w:val="003B5DF1"/>
    <w:rsid w:val="003B5E0C"/>
    <w:rsid w:val="003B63F2"/>
    <w:rsid w:val="003C17FA"/>
    <w:rsid w:val="003C305B"/>
    <w:rsid w:val="003C5858"/>
    <w:rsid w:val="003D0530"/>
    <w:rsid w:val="003D4219"/>
    <w:rsid w:val="003D73CD"/>
    <w:rsid w:val="003E602B"/>
    <w:rsid w:val="003F0636"/>
    <w:rsid w:val="003F24DF"/>
    <w:rsid w:val="003F25E6"/>
    <w:rsid w:val="003F7389"/>
    <w:rsid w:val="003F77A1"/>
    <w:rsid w:val="00402B47"/>
    <w:rsid w:val="004069E9"/>
    <w:rsid w:val="0041067E"/>
    <w:rsid w:val="0041762B"/>
    <w:rsid w:val="00420CCF"/>
    <w:rsid w:val="00422951"/>
    <w:rsid w:val="00425EFF"/>
    <w:rsid w:val="004266C4"/>
    <w:rsid w:val="004278C1"/>
    <w:rsid w:val="00435E74"/>
    <w:rsid w:val="00437775"/>
    <w:rsid w:val="00443EEB"/>
    <w:rsid w:val="00444E0C"/>
    <w:rsid w:val="00444FCE"/>
    <w:rsid w:val="00446393"/>
    <w:rsid w:val="00452DC3"/>
    <w:rsid w:val="004645FE"/>
    <w:rsid w:val="0047123D"/>
    <w:rsid w:val="004713EB"/>
    <w:rsid w:val="00472852"/>
    <w:rsid w:val="00475815"/>
    <w:rsid w:val="00477A38"/>
    <w:rsid w:val="004831F7"/>
    <w:rsid w:val="00487655"/>
    <w:rsid w:val="00491C98"/>
    <w:rsid w:val="00492BE5"/>
    <w:rsid w:val="004A2F3C"/>
    <w:rsid w:val="004A3180"/>
    <w:rsid w:val="004A4BDA"/>
    <w:rsid w:val="004A64FB"/>
    <w:rsid w:val="004A65DC"/>
    <w:rsid w:val="004B0DD4"/>
    <w:rsid w:val="004B2DA4"/>
    <w:rsid w:val="004C4E6A"/>
    <w:rsid w:val="004D0C33"/>
    <w:rsid w:val="004D1E84"/>
    <w:rsid w:val="004E09DE"/>
    <w:rsid w:val="004E137B"/>
    <w:rsid w:val="004E1FB4"/>
    <w:rsid w:val="004E45B1"/>
    <w:rsid w:val="004E4914"/>
    <w:rsid w:val="004F1637"/>
    <w:rsid w:val="004F1D24"/>
    <w:rsid w:val="004F3F60"/>
    <w:rsid w:val="004F4182"/>
    <w:rsid w:val="004F5CBF"/>
    <w:rsid w:val="004F7C32"/>
    <w:rsid w:val="00500073"/>
    <w:rsid w:val="00503ED5"/>
    <w:rsid w:val="005048B1"/>
    <w:rsid w:val="00505DDE"/>
    <w:rsid w:val="005062C2"/>
    <w:rsid w:val="00506888"/>
    <w:rsid w:val="00507CA7"/>
    <w:rsid w:val="00507E76"/>
    <w:rsid w:val="00511460"/>
    <w:rsid w:val="00513767"/>
    <w:rsid w:val="00514DFB"/>
    <w:rsid w:val="005214C9"/>
    <w:rsid w:val="00522C1C"/>
    <w:rsid w:val="00523D67"/>
    <w:rsid w:val="00531CF8"/>
    <w:rsid w:val="005350D8"/>
    <w:rsid w:val="00536884"/>
    <w:rsid w:val="00536E1D"/>
    <w:rsid w:val="00545479"/>
    <w:rsid w:val="00545D86"/>
    <w:rsid w:val="00550D89"/>
    <w:rsid w:val="00552840"/>
    <w:rsid w:val="00555235"/>
    <w:rsid w:val="00556D9A"/>
    <w:rsid w:val="00557C50"/>
    <w:rsid w:val="00572B65"/>
    <w:rsid w:val="00575693"/>
    <w:rsid w:val="00577363"/>
    <w:rsid w:val="005809DA"/>
    <w:rsid w:val="005813E7"/>
    <w:rsid w:val="005833A7"/>
    <w:rsid w:val="00583479"/>
    <w:rsid w:val="005843FD"/>
    <w:rsid w:val="00586F79"/>
    <w:rsid w:val="0059005C"/>
    <w:rsid w:val="00594B77"/>
    <w:rsid w:val="00595645"/>
    <w:rsid w:val="005A5CAB"/>
    <w:rsid w:val="005A7AE3"/>
    <w:rsid w:val="005B03C5"/>
    <w:rsid w:val="005B0CFD"/>
    <w:rsid w:val="005B4C93"/>
    <w:rsid w:val="005B55A1"/>
    <w:rsid w:val="005B5DD0"/>
    <w:rsid w:val="005C0DBC"/>
    <w:rsid w:val="005C0DE4"/>
    <w:rsid w:val="005C0EA7"/>
    <w:rsid w:val="005C61E6"/>
    <w:rsid w:val="005E1393"/>
    <w:rsid w:val="005E2E76"/>
    <w:rsid w:val="005E3838"/>
    <w:rsid w:val="005E4639"/>
    <w:rsid w:val="005F03B1"/>
    <w:rsid w:val="005F061A"/>
    <w:rsid w:val="005F5875"/>
    <w:rsid w:val="005F6538"/>
    <w:rsid w:val="005F7B6D"/>
    <w:rsid w:val="0060624C"/>
    <w:rsid w:val="00615534"/>
    <w:rsid w:val="006163A5"/>
    <w:rsid w:val="0061690B"/>
    <w:rsid w:val="0061750A"/>
    <w:rsid w:val="00624D3A"/>
    <w:rsid w:val="0062712A"/>
    <w:rsid w:val="00627ECE"/>
    <w:rsid w:val="006306BC"/>
    <w:rsid w:val="0063115A"/>
    <w:rsid w:val="00634284"/>
    <w:rsid w:val="00637BED"/>
    <w:rsid w:val="00640361"/>
    <w:rsid w:val="00642D07"/>
    <w:rsid w:val="00653C3F"/>
    <w:rsid w:val="00653FA2"/>
    <w:rsid w:val="00656FE4"/>
    <w:rsid w:val="00660FB4"/>
    <w:rsid w:val="006622EF"/>
    <w:rsid w:val="0066263C"/>
    <w:rsid w:val="00664266"/>
    <w:rsid w:val="0067105C"/>
    <w:rsid w:val="00674205"/>
    <w:rsid w:val="00677A6D"/>
    <w:rsid w:val="00694410"/>
    <w:rsid w:val="006A22C2"/>
    <w:rsid w:val="006A3F5B"/>
    <w:rsid w:val="006A4882"/>
    <w:rsid w:val="006B481D"/>
    <w:rsid w:val="006B5A99"/>
    <w:rsid w:val="006C2E4B"/>
    <w:rsid w:val="006C4CEE"/>
    <w:rsid w:val="006C6ADA"/>
    <w:rsid w:val="006D202C"/>
    <w:rsid w:val="006D4DAF"/>
    <w:rsid w:val="006E31D9"/>
    <w:rsid w:val="006E6C9B"/>
    <w:rsid w:val="006E70DF"/>
    <w:rsid w:val="006F5468"/>
    <w:rsid w:val="007010BC"/>
    <w:rsid w:val="0070258F"/>
    <w:rsid w:val="00706F4C"/>
    <w:rsid w:val="00713E8C"/>
    <w:rsid w:val="00715794"/>
    <w:rsid w:val="00716B32"/>
    <w:rsid w:val="00723AF2"/>
    <w:rsid w:val="007248A3"/>
    <w:rsid w:val="00725EAC"/>
    <w:rsid w:val="0073466E"/>
    <w:rsid w:val="007373A2"/>
    <w:rsid w:val="00742C05"/>
    <w:rsid w:val="007447A6"/>
    <w:rsid w:val="00745BFC"/>
    <w:rsid w:val="00746139"/>
    <w:rsid w:val="00747486"/>
    <w:rsid w:val="007517F0"/>
    <w:rsid w:val="0075250D"/>
    <w:rsid w:val="00755786"/>
    <w:rsid w:val="007630BF"/>
    <w:rsid w:val="00763C77"/>
    <w:rsid w:val="00765D1B"/>
    <w:rsid w:val="007801AA"/>
    <w:rsid w:val="007929B4"/>
    <w:rsid w:val="00792DCE"/>
    <w:rsid w:val="007A3BD1"/>
    <w:rsid w:val="007A75C9"/>
    <w:rsid w:val="007B1A53"/>
    <w:rsid w:val="007B2736"/>
    <w:rsid w:val="007B5AA5"/>
    <w:rsid w:val="007B683D"/>
    <w:rsid w:val="007C101A"/>
    <w:rsid w:val="007C4483"/>
    <w:rsid w:val="007C66A9"/>
    <w:rsid w:val="007D6B5E"/>
    <w:rsid w:val="007F1B0A"/>
    <w:rsid w:val="007F3829"/>
    <w:rsid w:val="007F3995"/>
    <w:rsid w:val="007F3A11"/>
    <w:rsid w:val="008007AE"/>
    <w:rsid w:val="00801F82"/>
    <w:rsid w:val="0080317B"/>
    <w:rsid w:val="00803389"/>
    <w:rsid w:val="00810276"/>
    <w:rsid w:val="008105AD"/>
    <w:rsid w:val="008155F4"/>
    <w:rsid w:val="00815AFF"/>
    <w:rsid w:val="0081739B"/>
    <w:rsid w:val="00817C7A"/>
    <w:rsid w:val="00820AFF"/>
    <w:rsid w:val="00820D67"/>
    <w:rsid w:val="008232B8"/>
    <w:rsid w:val="0082572A"/>
    <w:rsid w:val="00834700"/>
    <w:rsid w:val="0083694C"/>
    <w:rsid w:val="00837BEB"/>
    <w:rsid w:val="008416DD"/>
    <w:rsid w:val="00844325"/>
    <w:rsid w:val="00844863"/>
    <w:rsid w:val="008473E7"/>
    <w:rsid w:val="00853A3E"/>
    <w:rsid w:val="0085574E"/>
    <w:rsid w:val="008557F3"/>
    <w:rsid w:val="008625DF"/>
    <w:rsid w:val="0086341F"/>
    <w:rsid w:val="00864026"/>
    <w:rsid w:val="008676C2"/>
    <w:rsid w:val="008704E6"/>
    <w:rsid w:val="00873CEC"/>
    <w:rsid w:val="00875960"/>
    <w:rsid w:val="00882A70"/>
    <w:rsid w:val="00884D63"/>
    <w:rsid w:val="00886F85"/>
    <w:rsid w:val="00891FCA"/>
    <w:rsid w:val="00893E43"/>
    <w:rsid w:val="00896DE3"/>
    <w:rsid w:val="008A4193"/>
    <w:rsid w:val="008A4CA7"/>
    <w:rsid w:val="008A4D7D"/>
    <w:rsid w:val="008A7ED3"/>
    <w:rsid w:val="008B3CDB"/>
    <w:rsid w:val="008B73B5"/>
    <w:rsid w:val="008B7797"/>
    <w:rsid w:val="008C2D80"/>
    <w:rsid w:val="008C2FE5"/>
    <w:rsid w:val="008C406F"/>
    <w:rsid w:val="008C769A"/>
    <w:rsid w:val="008D1CAE"/>
    <w:rsid w:val="008E12E9"/>
    <w:rsid w:val="008E4FB0"/>
    <w:rsid w:val="008E53F3"/>
    <w:rsid w:val="008E5A1B"/>
    <w:rsid w:val="008E5EFB"/>
    <w:rsid w:val="008F09A2"/>
    <w:rsid w:val="00904F31"/>
    <w:rsid w:val="00906181"/>
    <w:rsid w:val="009069B7"/>
    <w:rsid w:val="00920128"/>
    <w:rsid w:val="009217F2"/>
    <w:rsid w:val="00927ED4"/>
    <w:rsid w:val="0093253E"/>
    <w:rsid w:val="00932BBD"/>
    <w:rsid w:val="0093397A"/>
    <w:rsid w:val="00933C16"/>
    <w:rsid w:val="00936676"/>
    <w:rsid w:val="00946398"/>
    <w:rsid w:val="00950FEF"/>
    <w:rsid w:val="00955E58"/>
    <w:rsid w:val="009609AC"/>
    <w:rsid w:val="00966D28"/>
    <w:rsid w:val="00972E28"/>
    <w:rsid w:val="00975B23"/>
    <w:rsid w:val="00980816"/>
    <w:rsid w:val="00982E74"/>
    <w:rsid w:val="00990066"/>
    <w:rsid w:val="00992B5C"/>
    <w:rsid w:val="00994A52"/>
    <w:rsid w:val="009961FD"/>
    <w:rsid w:val="00996E89"/>
    <w:rsid w:val="009A3191"/>
    <w:rsid w:val="009A3C62"/>
    <w:rsid w:val="009A4466"/>
    <w:rsid w:val="009B0EB7"/>
    <w:rsid w:val="009B0F4E"/>
    <w:rsid w:val="009B174E"/>
    <w:rsid w:val="009B44D2"/>
    <w:rsid w:val="009B6B86"/>
    <w:rsid w:val="009C2536"/>
    <w:rsid w:val="009C42E1"/>
    <w:rsid w:val="009D161C"/>
    <w:rsid w:val="009D1BB6"/>
    <w:rsid w:val="009D2C9F"/>
    <w:rsid w:val="009E2D95"/>
    <w:rsid w:val="009F3B87"/>
    <w:rsid w:val="00A00EC5"/>
    <w:rsid w:val="00A0595D"/>
    <w:rsid w:val="00A110A6"/>
    <w:rsid w:val="00A15BCE"/>
    <w:rsid w:val="00A16883"/>
    <w:rsid w:val="00A16BC0"/>
    <w:rsid w:val="00A1739E"/>
    <w:rsid w:val="00A272BB"/>
    <w:rsid w:val="00A30835"/>
    <w:rsid w:val="00A346DD"/>
    <w:rsid w:val="00A35E47"/>
    <w:rsid w:val="00A375EC"/>
    <w:rsid w:val="00A40650"/>
    <w:rsid w:val="00A40871"/>
    <w:rsid w:val="00A41A50"/>
    <w:rsid w:val="00A4371C"/>
    <w:rsid w:val="00A43894"/>
    <w:rsid w:val="00A44947"/>
    <w:rsid w:val="00A45AAB"/>
    <w:rsid w:val="00A47BDA"/>
    <w:rsid w:val="00A5111F"/>
    <w:rsid w:val="00A515EC"/>
    <w:rsid w:val="00A517A7"/>
    <w:rsid w:val="00A532E5"/>
    <w:rsid w:val="00A54D65"/>
    <w:rsid w:val="00A5796E"/>
    <w:rsid w:val="00A57D3F"/>
    <w:rsid w:val="00A60C11"/>
    <w:rsid w:val="00A63476"/>
    <w:rsid w:val="00A643F4"/>
    <w:rsid w:val="00A65B15"/>
    <w:rsid w:val="00A6786B"/>
    <w:rsid w:val="00A71CF5"/>
    <w:rsid w:val="00A7622B"/>
    <w:rsid w:val="00A81767"/>
    <w:rsid w:val="00A81A07"/>
    <w:rsid w:val="00A838D1"/>
    <w:rsid w:val="00A858B7"/>
    <w:rsid w:val="00A873AF"/>
    <w:rsid w:val="00A87745"/>
    <w:rsid w:val="00A905CF"/>
    <w:rsid w:val="00A96FA4"/>
    <w:rsid w:val="00AB08ED"/>
    <w:rsid w:val="00AB2E47"/>
    <w:rsid w:val="00AB329B"/>
    <w:rsid w:val="00AB3459"/>
    <w:rsid w:val="00AB35AD"/>
    <w:rsid w:val="00AB3813"/>
    <w:rsid w:val="00AC2B6E"/>
    <w:rsid w:val="00AC2C36"/>
    <w:rsid w:val="00AC5BF1"/>
    <w:rsid w:val="00AD0B72"/>
    <w:rsid w:val="00AD3287"/>
    <w:rsid w:val="00AE0FA0"/>
    <w:rsid w:val="00AE1A3D"/>
    <w:rsid w:val="00AE61EF"/>
    <w:rsid w:val="00AF143C"/>
    <w:rsid w:val="00AF21CF"/>
    <w:rsid w:val="00B02C85"/>
    <w:rsid w:val="00B02E0C"/>
    <w:rsid w:val="00B06E08"/>
    <w:rsid w:val="00B13A6F"/>
    <w:rsid w:val="00B13D77"/>
    <w:rsid w:val="00B173C2"/>
    <w:rsid w:val="00B234A0"/>
    <w:rsid w:val="00B26E72"/>
    <w:rsid w:val="00B27412"/>
    <w:rsid w:val="00B32617"/>
    <w:rsid w:val="00B34634"/>
    <w:rsid w:val="00B36016"/>
    <w:rsid w:val="00B36DF3"/>
    <w:rsid w:val="00B44885"/>
    <w:rsid w:val="00B4717C"/>
    <w:rsid w:val="00B5574E"/>
    <w:rsid w:val="00B64CD7"/>
    <w:rsid w:val="00B656FF"/>
    <w:rsid w:val="00B66AEF"/>
    <w:rsid w:val="00B674A3"/>
    <w:rsid w:val="00B70D95"/>
    <w:rsid w:val="00B7368F"/>
    <w:rsid w:val="00B753D9"/>
    <w:rsid w:val="00B76632"/>
    <w:rsid w:val="00B776C9"/>
    <w:rsid w:val="00B84DA1"/>
    <w:rsid w:val="00B85B4F"/>
    <w:rsid w:val="00B86524"/>
    <w:rsid w:val="00B87AA6"/>
    <w:rsid w:val="00B941DF"/>
    <w:rsid w:val="00B95994"/>
    <w:rsid w:val="00B95B54"/>
    <w:rsid w:val="00B96A03"/>
    <w:rsid w:val="00BA1055"/>
    <w:rsid w:val="00BA16AD"/>
    <w:rsid w:val="00BA1B64"/>
    <w:rsid w:val="00BA4637"/>
    <w:rsid w:val="00BA6BBC"/>
    <w:rsid w:val="00BB2135"/>
    <w:rsid w:val="00BB6DC6"/>
    <w:rsid w:val="00BC304F"/>
    <w:rsid w:val="00BC43FB"/>
    <w:rsid w:val="00BC48F1"/>
    <w:rsid w:val="00BC730E"/>
    <w:rsid w:val="00BD1565"/>
    <w:rsid w:val="00BD2268"/>
    <w:rsid w:val="00BD3017"/>
    <w:rsid w:val="00BD6925"/>
    <w:rsid w:val="00BE1F39"/>
    <w:rsid w:val="00BE4742"/>
    <w:rsid w:val="00BE5757"/>
    <w:rsid w:val="00BF25DA"/>
    <w:rsid w:val="00BF670F"/>
    <w:rsid w:val="00BF7375"/>
    <w:rsid w:val="00BF744E"/>
    <w:rsid w:val="00C00E74"/>
    <w:rsid w:val="00C05584"/>
    <w:rsid w:val="00C07A22"/>
    <w:rsid w:val="00C14820"/>
    <w:rsid w:val="00C24649"/>
    <w:rsid w:val="00C24ABC"/>
    <w:rsid w:val="00C27674"/>
    <w:rsid w:val="00C3399E"/>
    <w:rsid w:val="00C37C04"/>
    <w:rsid w:val="00C41462"/>
    <w:rsid w:val="00C4168E"/>
    <w:rsid w:val="00C43F6E"/>
    <w:rsid w:val="00C46263"/>
    <w:rsid w:val="00C504E7"/>
    <w:rsid w:val="00C52DB8"/>
    <w:rsid w:val="00C52F89"/>
    <w:rsid w:val="00C52FBF"/>
    <w:rsid w:val="00C61F89"/>
    <w:rsid w:val="00C63211"/>
    <w:rsid w:val="00C64CF2"/>
    <w:rsid w:val="00C67742"/>
    <w:rsid w:val="00C71B15"/>
    <w:rsid w:val="00C8038E"/>
    <w:rsid w:val="00C82EB7"/>
    <w:rsid w:val="00C8339B"/>
    <w:rsid w:val="00C856B8"/>
    <w:rsid w:val="00C87A0C"/>
    <w:rsid w:val="00C91001"/>
    <w:rsid w:val="00C91C5F"/>
    <w:rsid w:val="00C9236C"/>
    <w:rsid w:val="00CA1155"/>
    <w:rsid w:val="00CA2844"/>
    <w:rsid w:val="00CA38EC"/>
    <w:rsid w:val="00CA4D92"/>
    <w:rsid w:val="00CA5F81"/>
    <w:rsid w:val="00CA731C"/>
    <w:rsid w:val="00CB435D"/>
    <w:rsid w:val="00CB4D70"/>
    <w:rsid w:val="00CB556F"/>
    <w:rsid w:val="00CB6986"/>
    <w:rsid w:val="00CC5338"/>
    <w:rsid w:val="00CC6626"/>
    <w:rsid w:val="00CD478E"/>
    <w:rsid w:val="00CD5A15"/>
    <w:rsid w:val="00CD6639"/>
    <w:rsid w:val="00CE0E89"/>
    <w:rsid w:val="00CE71D0"/>
    <w:rsid w:val="00CE7C85"/>
    <w:rsid w:val="00CF16DD"/>
    <w:rsid w:val="00CF5299"/>
    <w:rsid w:val="00CF7429"/>
    <w:rsid w:val="00D04460"/>
    <w:rsid w:val="00D06174"/>
    <w:rsid w:val="00D16DD4"/>
    <w:rsid w:val="00D171A3"/>
    <w:rsid w:val="00D17C39"/>
    <w:rsid w:val="00D20C39"/>
    <w:rsid w:val="00D20CC0"/>
    <w:rsid w:val="00D2203A"/>
    <w:rsid w:val="00D30C1C"/>
    <w:rsid w:val="00D31AAD"/>
    <w:rsid w:val="00D4219F"/>
    <w:rsid w:val="00D43CDA"/>
    <w:rsid w:val="00D45CC4"/>
    <w:rsid w:val="00D666E4"/>
    <w:rsid w:val="00D720A6"/>
    <w:rsid w:val="00D73F6A"/>
    <w:rsid w:val="00D77C3A"/>
    <w:rsid w:val="00D80205"/>
    <w:rsid w:val="00D81471"/>
    <w:rsid w:val="00D82F25"/>
    <w:rsid w:val="00D83553"/>
    <w:rsid w:val="00D87983"/>
    <w:rsid w:val="00D87E50"/>
    <w:rsid w:val="00D94E1C"/>
    <w:rsid w:val="00DA3026"/>
    <w:rsid w:val="00DA71BF"/>
    <w:rsid w:val="00DB000D"/>
    <w:rsid w:val="00DB273E"/>
    <w:rsid w:val="00DB3033"/>
    <w:rsid w:val="00DB6A67"/>
    <w:rsid w:val="00DC22F4"/>
    <w:rsid w:val="00DD441D"/>
    <w:rsid w:val="00DE01FC"/>
    <w:rsid w:val="00DE1CBB"/>
    <w:rsid w:val="00DE462D"/>
    <w:rsid w:val="00DE5503"/>
    <w:rsid w:val="00DE6203"/>
    <w:rsid w:val="00DF12A8"/>
    <w:rsid w:val="00DF12BB"/>
    <w:rsid w:val="00DF2B55"/>
    <w:rsid w:val="00DF5955"/>
    <w:rsid w:val="00DF772F"/>
    <w:rsid w:val="00E00B8B"/>
    <w:rsid w:val="00E01D46"/>
    <w:rsid w:val="00E04B69"/>
    <w:rsid w:val="00E100F6"/>
    <w:rsid w:val="00E10FF1"/>
    <w:rsid w:val="00E11586"/>
    <w:rsid w:val="00E23255"/>
    <w:rsid w:val="00E24720"/>
    <w:rsid w:val="00E30328"/>
    <w:rsid w:val="00E3085A"/>
    <w:rsid w:val="00E32A62"/>
    <w:rsid w:val="00E337D6"/>
    <w:rsid w:val="00E34175"/>
    <w:rsid w:val="00E40790"/>
    <w:rsid w:val="00E425F7"/>
    <w:rsid w:val="00E43E93"/>
    <w:rsid w:val="00E44744"/>
    <w:rsid w:val="00E5742C"/>
    <w:rsid w:val="00E63571"/>
    <w:rsid w:val="00E64B8D"/>
    <w:rsid w:val="00E64B98"/>
    <w:rsid w:val="00E71597"/>
    <w:rsid w:val="00E71A75"/>
    <w:rsid w:val="00E72325"/>
    <w:rsid w:val="00E72F4F"/>
    <w:rsid w:val="00E7370C"/>
    <w:rsid w:val="00E73752"/>
    <w:rsid w:val="00E77F16"/>
    <w:rsid w:val="00E81B82"/>
    <w:rsid w:val="00E82664"/>
    <w:rsid w:val="00E86B8D"/>
    <w:rsid w:val="00E86BB5"/>
    <w:rsid w:val="00E93DEB"/>
    <w:rsid w:val="00E95DCC"/>
    <w:rsid w:val="00EA2F1E"/>
    <w:rsid w:val="00EB4CD9"/>
    <w:rsid w:val="00EB77DD"/>
    <w:rsid w:val="00EB7CE3"/>
    <w:rsid w:val="00EB7DF1"/>
    <w:rsid w:val="00EC3839"/>
    <w:rsid w:val="00EC5DD1"/>
    <w:rsid w:val="00EC78B2"/>
    <w:rsid w:val="00ED0227"/>
    <w:rsid w:val="00ED1AEC"/>
    <w:rsid w:val="00ED29DA"/>
    <w:rsid w:val="00ED2D73"/>
    <w:rsid w:val="00ED473F"/>
    <w:rsid w:val="00ED4B99"/>
    <w:rsid w:val="00ED6CB8"/>
    <w:rsid w:val="00EE5AD8"/>
    <w:rsid w:val="00EE5CF4"/>
    <w:rsid w:val="00EE74D5"/>
    <w:rsid w:val="00EF02C3"/>
    <w:rsid w:val="00EF0AD3"/>
    <w:rsid w:val="00EF1416"/>
    <w:rsid w:val="00EF2CBE"/>
    <w:rsid w:val="00EF3D09"/>
    <w:rsid w:val="00EF7220"/>
    <w:rsid w:val="00F002FA"/>
    <w:rsid w:val="00F046CC"/>
    <w:rsid w:val="00F04CBA"/>
    <w:rsid w:val="00F0591E"/>
    <w:rsid w:val="00F1014F"/>
    <w:rsid w:val="00F12C1F"/>
    <w:rsid w:val="00F16D5D"/>
    <w:rsid w:val="00F21BA7"/>
    <w:rsid w:val="00F22BFD"/>
    <w:rsid w:val="00F23780"/>
    <w:rsid w:val="00F23DB8"/>
    <w:rsid w:val="00F241D0"/>
    <w:rsid w:val="00F251AA"/>
    <w:rsid w:val="00F27F94"/>
    <w:rsid w:val="00F304F3"/>
    <w:rsid w:val="00F31FB6"/>
    <w:rsid w:val="00F33BB0"/>
    <w:rsid w:val="00F36179"/>
    <w:rsid w:val="00F36FF3"/>
    <w:rsid w:val="00F3777A"/>
    <w:rsid w:val="00F406A6"/>
    <w:rsid w:val="00F46A41"/>
    <w:rsid w:val="00F50788"/>
    <w:rsid w:val="00F511BC"/>
    <w:rsid w:val="00F55126"/>
    <w:rsid w:val="00F60504"/>
    <w:rsid w:val="00F65503"/>
    <w:rsid w:val="00F65BFD"/>
    <w:rsid w:val="00F66E2D"/>
    <w:rsid w:val="00F7093F"/>
    <w:rsid w:val="00F716F8"/>
    <w:rsid w:val="00F84978"/>
    <w:rsid w:val="00F91E2E"/>
    <w:rsid w:val="00F91EB9"/>
    <w:rsid w:val="00F92C5F"/>
    <w:rsid w:val="00F92E27"/>
    <w:rsid w:val="00F93D6C"/>
    <w:rsid w:val="00F94C75"/>
    <w:rsid w:val="00FA02E4"/>
    <w:rsid w:val="00FA1050"/>
    <w:rsid w:val="00FA140A"/>
    <w:rsid w:val="00FA1772"/>
    <w:rsid w:val="00FA3E65"/>
    <w:rsid w:val="00FA49DE"/>
    <w:rsid w:val="00FA7F49"/>
    <w:rsid w:val="00FB075A"/>
    <w:rsid w:val="00FB4EC3"/>
    <w:rsid w:val="00FB63BD"/>
    <w:rsid w:val="00FB6EE2"/>
    <w:rsid w:val="00FC0AD6"/>
    <w:rsid w:val="00FC19E4"/>
    <w:rsid w:val="00FC5AF6"/>
    <w:rsid w:val="00FD0D39"/>
    <w:rsid w:val="00FD3171"/>
    <w:rsid w:val="00FD605B"/>
    <w:rsid w:val="00FD6596"/>
    <w:rsid w:val="00FD65C6"/>
    <w:rsid w:val="00FE088B"/>
    <w:rsid w:val="00FF350F"/>
    <w:rsid w:val="00FF56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690731-5104-4F94-9C16-FDE1772E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59"/>
    <w:pPr>
      <w:spacing w:after="120"/>
    </w:pPr>
    <w:rPr>
      <w:rFonts w:ascii="Calibri" w:hAnsi="Calibri"/>
      <w:lang w:val="en-AU"/>
    </w:rPr>
  </w:style>
  <w:style w:type="paragraph" w:styleId="Heading1">
    <w:name w:val="heading 1"/>
    <w:basedOn w:val="Normal"/>
    <w:next w:val="Normal"/>
    <w:link w:val="Heading1Char"/>
    <w:qFormat/>
    <w:rsid w:val="00B5574E"/>
    <w:pPr>
      <w:keepNext/>
      <w:keepLines/>
      <w:numPr>
        <w:numId w:val="1"/>
      </w:numPr>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nhideWhenUsed/>
    <w:qFormat/>
    <w:rsid w:val="00C52DB8"/>
    <w:pPr>
      <w:keepNext/>
      <w:keepLines/>
      <w:numPr>
        <w:ilvl w:val="1"/>
        <w:numId w:val="1"/>
      </w:numPr>
      <w:spacing w:before="200"/>
      <w:outlineLvl w:val="1"/>
    </w:pPr>
    <w:rPr>
      <w:rFonts w:ascii="Arial" w:eastAsiaTheme="majorEastAsia" w:hAnsi="Arial" w:cstheme="majorBidi"/>
      <w:b/>
      <w:bCs/>
      <w:sz w:val="24"/>
      <w:szCs w:val="26"/>
    </w:rPr>
  </w:style>
  <w:style w:type="paragraph" w:styleId="Heading3">
    <w:name w:val="heading 3"/>
    <w:basedOn w:val="Normal"/>
    <w:next w:val="Normal"/>
    <w:link w:val="Heading3Char"/>
    <w:unhideWhenUsed/>
    <w:qFormat/>
    <w:rsid w:val="00C52DB8"/>
    <w:pPr>
      <w:keepNext/>
      <w:keepLines/>
      <w:spacing w:before="200"/>
      <w:outlineLvl w:val="2"/>
    </w:pPr>
    <w:rPr>
      <w:rFonts w:asciiTheme="minorHAnsi" w:eastAsiaTheme="majorEastAsia" w:hAnsiTheme="minorHAnsi" w:cstheme="majorBidi"/>
      <w:bCs/>
    </w:rPr>
  </w:style>
  <w:style w:type="paragraph" w:styleId="Heading4">
    <w:name w:val="heading 4"/>
    <w:basedOn w:val="Default"/>
    <w:next w:val="Default"/>
    <w:link w:val="Heading4Char"/>
    <w:qFormat/>
    <w:rsid w:val="001A5F5A"/>
    <w:pPr>
      <w:outlineLvl w:val="3"/>
    </w:pPr>
    <w:rPr>
      <w:rFonts w:cs="Times New Roman"/>
      <w:color w:val="auto"/>
    </w:rPr>
  </w:style>
  <w:style w:type="paragraph" w:styleId="Heading5">
    <w:name w:val="heading 5"/>
    <w:basedOn w:val="Normal"/>
    <w:next w:val="Normal"/>
    <w:link w:val="Heading5Char"/>
    <w:unhideWhenUsed/>
    <w:qFormat/>
    <w:rsid w:val="00C52DB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C52DB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52DB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52DB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2DB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F5A"/>
    <w:pPr>
      <w:autoSpaceDE w:val="0"/>
      <w:autoSpaceDN w:val="0"/>
      <w:adjustRightInd w:val="0"/>
      <w:spacing w:after="0" w:line="240" w:lineRule="auto"/>
    </w:pPr>
    <w:rPr>
      <w:rFonts w:ascii="Calibri" w:hAnsi="Calibri" w:cs="Calibri"/>
      <w:color w:val="000000"/>
      <w:sz w:val="24"/>
      <w:szCs w:val="24"/>
      <w:lang w:val="en-AU"/>
    </w:rPr>
  </w:style>
  <w:style w:type="character" w:customStyle="1" w:styleId="Heading4Char">
    <w:name w:val="Heading 4 Char"/>
    <w:basedOn w:val="DefaultParagraphFont"/>
    <w:link w:val="Heading4"/>
    <w:uiPriority w:val="99"/>
    <w:rsid w:val="001A5F5A"/>
    <w:rPr>
      <w:rFonts w:ascii="Calibri" w:hAnsi="Calibri" w:cs="Times New Roman"/>
      <w:sz w:val="24"/>
      <w:szCs w:val="24"/>
      <w:lang w:val="en-AU"/>
    </w:rPr>
  </w:style>
  <w:style w:type="paragraph" w:customStyle="1" w:styleId="report">
    <w:name w:val="report"/>
    <w:basedOn w:val="Default"/>
    <w:next w:val="Default"/>
    <w:uiPriority w:val="99"/>
    <w:rsid w:val="001A5F5A"/>
    <w:rPr>
      <w:rFonts w:cs="Times New Roman"/>
      <w:color w:val="auto"/>
    </w:rPr>
  </w:style>
  <w:style w:type="paragraph" w:styleId="ListParagraph">
    <w:name w:val="List Paragraph"/>
    <w:basedOn w:val="Normal"/>
    <w:autoRedefine/>
    <w:uiPriority w:val="34"/>
    <w:qFormat/>
    <w:rsid w:val="00FD0D39"/>
    <w:pPr>
      <w:numPr>
        <w:numId w:val="12"/>
      </w:numPr>
      <w:spacing w:before="120"/>
      <w:ind w:left="1559" w:hanging="425"/>
    </w:pPr>
  </w:style>
  <w:style w:type="character" w:styleId="Hyperlink">
    <w:name w:val="Hyperlink"/>
    <w:basedOn w:val="DefaultParagraphFont"/>
    <w:uiPriority w:val="99"/>
    <w:unhideWhenUsed/>
    <w:rsid w:val="00BC730E"/>
    <w:rPr>
      <w:color w:val="4169E1"/>
      <w:u w:val="single"/>
    </w:rPr>
  </w:style>
  <w:style w:type="paragraph" w:styleId="Header">
    <w:name w:val="header"/>
    <w:basedOn w:val="Normal"/>
    <w:link w:val="HeaderChar"/>
    <w:uiPriority w:val="99"/>
    <w:unhideWhenUsed/>
    <w:rsid w:val="00041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D7A"/>
  </w:style>
  <w:style w:type="paragraph" w:styleId="Footer">
    <w:name w:val="footer"/>
    <w:basedOn w:val="Normal"/>
    <w:link w:val="FooterChar"/>
    <w:uiPriority w:val="99"/>
    <w:unhideWhenUsed/>
    <w:rsid w:val="00041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D7A"/>
  </w:style>
  <w:style w:type="character" w:customStyle="1" w:styleId="Heading2Char">
    <w:name w:val="Heading 2 Char"/>
    <w:basedOn w:val="DefaultParagraphFont"/>
    <w:link w:val="Heading2"/>
    <w:rsid w:val="00C52DB8"/>
    <w:rPr>
      <w:rFonts w:ascii="Arial" w:eastAsiaTheme="majorEastAsia" w:hAnsi="Arial" w:cstheme="majorBidi"/>
      <w:b/>
      <w:bCs/>
      <w:sz w:val="24"/>
      <w:szCs w:val="26"/>
      <w:lang w:val="en-AU"/>
    </w:rPr>
  </w:style>
  <w:style w:type="character" w:customStyle="1" w:styleId="Heading3Char">
    <w:name w:val="Heading 3 Char"/>
    <w:basedOn w:val="DefaultParagraphFont"/>
    <w:link w:val="Heading3"/>
    <w:rsid w:val="00AF21CF"/>
    <w:rPr>
      <w:rFonts w:eastAsiaTheme="majorEastAsia" w:cstheme="majorBidi"/>
      <w:bCs/>
      <w:lang w:val="en-AU"/>
    </w:rPr>
  </w:style>
  <w:style w:type="paragraph" w:styleId="BalloonText">
    <w:name w:val="Balloon Text"/>
    <w:basedOn w:val="Normal"/>
    <w:link w:val="BalloonTextChar"/>
    <w:uiPriority w:val="99"/>
    <w:semiHidden/>
    <w:unhideWhenUsed/>
    <w:rsid w:val="001B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13"/>
    <w:rPr>
      <w:rFonts w:ascii="Tahoma" w:hAnsi="Tahoma" w:cs="Tahoma"/>
      <w:sz w:val="16"/>
      <w:szCs w:val="16"/>
    </w:rPr>
  </w:style>
  <w:style w:type="character" w:styleId="CommentReference">
    <w:name w:val="annotation reference"/>
    <w:basedOn w:val="DefaultParagraphFont"/>
    <w:uiPriority w:val="99"/>
    <w:semiHidden/>
    <w:unhideWhenUsed/>
    <w:rsid w:val="0083694C"/>
    <w:rPr>
      <w:sz w:val="16"/>
      <w:szCs w:val="16"/>
    </w:rPr>
  </w:style>
  <w:style w:type="paragraph" w:styleId="CommentText">
    <w:name w:val="annotation text"/>
    <w:basedOn w:val="Normal"/>
    <w:link w:val="CommentTextChar"/>
    <w:uiPriority w:val="99"/>
    <w:semiHidden/>
    <w:unhideWhenUsed/>
    <w:rsid w:val="0083694C"/>
    <w:pPr>
      <w:spacing w:line="240" w:lineRule="auto"/>
    </w:pPr>
    <w:rPr>
      <w:sz w:val="20"/>
      <w:szCs w:val="20"/>
    </w:rPr>
  </w:style>
  <w:style w:type="character" w:customStyle="1" w:styleId="CommentTextChar">
    <w:name w:val="Comment Text Char"/>
    <w:basedOn w:val="DefaultParagraphFont"/>
    <w:link w:val="CommentText"/>
    <w:uiPriority w:val="99"/>
    <w:semiHidden/>
    <w:rsid w:val="0083694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3694C"/>
    <w:rPr>
      <w:b/>
      <w:bCs/>
    </w:rPr>
  </w:style>
  <w:style w:type="character" w:customStyle="1" w:styleId="CommentSubjectChar">
    <w:name w:val="Comment Subject Char"/>
    <w:basedOn w:val="CommentTextChar"/>
    <w:link w:val="CommentSubject"/>
    <w:uiPriority w:val="99"/>
    <w:semiHidden/>
    <w:rsid w:val="0083694C"/>
    <w:rPr>
      <w:rFonts w:ascii="Calibri" w:hAnsi="Calibri"/>
      <w:b/>
      <w:bCs/>
      <w:sz w:val="20"/>
      <w:szCs w:val="20"/>
    </w:rPr>
  </w:style>
  <w:style w:type="character" w:customStyle="1" w:styleId="Heading1Char">
    <w:name w:val="Heading 1 Char"/>
    <w:basedOn w:val="DefaultParagraphFont"/>
    <w:link w:val="Heading1"/>
    <w:rsid w:val="00B5574E"/>
    <w:rPr>
      <w:rFonts w:ascii="Arial" w:eastAsiaTheme="majorEastAsia" w:hAnsi="Arial" w:cstheme="majorBidi"/>
      <w:b/>
      <w:bCs/>
      <w:sz w:val="28"/>
      <w:szCs w:val="28"/>
      <w:lang w:val="en-AU"/>
    </w:rPr>
  </w:style>
  <w:style w:type="character" w:customStyle="1" w:styleId="Heading5Char">
    <w:name w:val="Heading 5 Char"/>
    <w:basedOn w:val="DefaultParagraphFont"/>
    <w:link w:val="Heading5"/>
    <w:rsid w:val="00C52DB8"/>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rsid w:val="00C52DB8"/>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rsid w:val="00C52DB8"/>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rsid w:val="00C52DB8"/>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rsid w:val="00C52DB8"/>
    <w:rPr>
      <w:rFonts w:asciiTheme="majorHAnsi" w:eastAsiaTheme="majorEastAsia" w:hAnsiTheme="majorHAnsi" w:cstheme="majorBidi"/>
      <w:i/>
      <w:iCs/>
      <w:color w:val="404040" w:themeColor="text1" w:themeTint="BF"/>
      <w:sz w:val="20"/>
      <w:szCs w:val="20"/>
      <w:lang w:val="en-AU"/>
    </w:rPr>
  </w:style>
  <w:style w:type="table" w:styleId="TableGrid">
    <w:name w:val="Table Grid"/>
    <w:basedOn w:val="TableNormal"/>
    <w:uiPriority w:val="59"/>
    <w:rsid w:val="009B0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232B8"/>
    <w:pPr>
      <w:spacing w:after="0" w:line="240" w:lineRule="auto"/>
    </w:pPr>
    <w:rPr>
      <w:rFonts w:eastAsiaTheme="minorEastAsia"/>
    </w:rPr>
  </w:style>
  <w:style w:type="character" w:customStyle="1" w:styleId="NoSpacingChar">
    <w:name w:val="No Spacing Char"/>
    <w:basedOn w:val="DefaultParagraphFont"/>
    <w:link w:val="NoSpacing"/>
    <w:uiPriority w:val="1"/>
    <w:rsid w:val="008232B8"/>
    <w:rPr>
      <w:rFonts w:eastAsiaTheme="minorEastAsia"/>
    </w:rPr>
  </w:style>
  <w:style w:type="paragraph" w:styleId="Title">
    <w:name w:val="Title"/>
    <w:basedOn w:val="Normal"/>
    <w:next w:val="Normal"/>
    <w:link w:val="TitleChar"/>
    <w:uiPriority w:val="10"/>
    <w:qFormat/>
    <w:rsid w:val="00214E60"/>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E60"/>
    <w:rPr>
      <w:rFonts w:asciiTheme="majorHAnsi" w:eastAsiaTheme="majorEastAsia" w:hAnsiTheme="majorHAnsi" w:cstheme="majorBidi"/>
      <w:color w:val="17365D" w:themeColor="text2" w:themeShade="BF"/>
      <w:spacing w:val="5"/>
      <w:kern w:val="28"/>
      <w:sz w:val="52"/>
      <w:szCs w:val="52"/>
      <w:lang w:val="en-AU"/>
    </w:rPr>
  </w:style>
  <w:style w:type="paragraph" w:styleId="BodyText">
    <w:name w:val="Body Text"/>
    <w:aliases w:val=" Char1 Char,Body Text Char Char Char Char,Body Text Char Char Char Char Char Char Char,Body Text Char Char Char Char Char Char Char Char Char Char Char "/>
    <w:basedOn w:val="Normal"/>
    <w:link w:val="BodyTextChar1"/>
    <w:rsid w:val="006163A5"/>
    <w:pPr>
      <w:spacing w:line="260" w:lineRule="atLeast"/>
    </w:pPr>
    <w:rPr>
      <w:rFonts w:ascii="Arial" w:eastAsia="Times New Roman" w:hAnsi="Arial" w:cs="Times New Roman"/>
      <w:kern w:val="20"/>
      <w:sz w:val="20"/>
      <w:szCs w:val="20"/>
    </w:rPr>
  </w:style>
  <w:style w:type="character" w:customStyle="1" w:styleId="BodyTextChar">
    <w:name w:val="Body Text Char"/>
    <w:basedOn w:val="DefaultParagraphFont"/>
    <w:uiPriority w:val="99"/>
    <w:semiHidden/>
    <w:rsid w:val="006163A5"/>
    <w:rPr>
      <w:rFonts w:ascii="Calibri" w:hAnsi="Calibri"/>
    </w:rPr>
  </w:style>
  <w:style w:type="character" w:customStyle="1" w:styleId="BodyTextChar1">
    <w:name w:val="Body Text Char1"/>
    <w:aliases w:val=" Char1 Char Char,Body Text Char Char Char Char Char,Body Text Char Char Char Char Char Char Char Char,Body Text Char Char Char Char Char Char Char Char Char Char Char  Char"/>
    <w:basedOn w:val="DefaultParagraphFont"/>
    <w:link w:val="BodyText"/>
    <w:rsid w:val="006163A5"/>
    <w:rPr>
      <w:rFonts w:ascii="Arial" w:eastAsia="Times New Roman" w:hAnsi="Arial" w:cs="Times New Roman"/>
      <w:kern w:val="20"/>
      <w:sz w:val="20"/>
      <w:szCs w:val="20"/>
      <w:lang w:val="en-AU"/>
    </w:rPr>
  </w:style>
  <w:style w:type="table" w:styleId="TableGrid8">
    <w:name w:val="Table Grid 8"/>
    <w:basedOn w:val="TableNormal"/>
    <w:rsid w:val="006163A5"/>
    <w:pPr>
      <w:spacing w:after="0" w:line="260" w:lineRule="atLeast"/>
    </w:pPr>
    <w:rPr>
      <w:rFonts w:ascii="Times New Roman" w:eastAsia="Times New Roman" w:hAnsi="Times New Roman" w:cs="Times New Roman"/>
      <w:sz w:val="20"/>
      <w:szCs w:val="20"/>
      <w:lang w:val="en-AU" w:eastAsia="en-A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unhideWhenUsed/>
    <w:rsid w:val="001534DD"/>
    <w:pPr>
      <w:spacing w:after="0" w:line="240" w:lineRule="auto"/>
    </w:pPr>
    <w:rPr>
      <w:sz w:val="20"/>
      <w:szCs w:val="20"/>
    </w:rPr>
  </w:style>
  <w:style w:type="character" w:customStyle="1" w:styleId="FootnoteTextChar">
    <w:name w:val="Footnote Text Char"/>
    <w:basedOn w:val="DefaultParagraphFont"/>
    <w:link w:val="FootnoteText"/>
    <w:uiPriority w:val="99"/>
    <w:rsid w:val="001534DD"/>
    <w:rPr>
      <w:rFonts w:ascii="Calibri" w:hAnsi="Calibri"/>
      <w:sz w:val="20"/>
      <w:szCs w:val="20"/>
      <w:lang w:val="en-AU"/>
    </w:rPr>
  </w:style>
  <w:style w:type="character" w:styleId="FootnoteReference">
    <w:name w:val="footnote reference"/>
    <w:basedOn w:val="DefaultParagraphFont"/>
    <w:uiPriority w:val="99"/>
    <w:semiHidden/>
    <w:unhideWhenUsed/>
    <w:rsid w:val="001534DD"/>
    <w:rPr>
      <w:vertAlign w:val="superscript"/>
    </w:rPr>
  </w:style>
  <w:style w:type="paragraph" w:customStyle="1" w:styleId="Customnumbers">
    <w:name w:val="Custom numbers"/>
    <w:link w:val="CustomnumbersChar"/>
    <w:qFormat/>
    <w:rsid w:val="005E2E76"/>
    <w:pPr>
      <w:numPr>
        <w:ilvl w:val="2"/>
        <w:numId w:val="1"/>
      </w:numPr>
      <w:autoSpaceDE w:val="0"/>
      <w:autoSpaceDN w:val="0"/>
      <w:spacing w:before="60" w:after="240"/>
    </w:pPr>
    <w:rPr>
      <w:rFonts w:eastAsia="Times New Roman" w:cs="Arial"/>
      <w:lang w:val="en-AU"/>
    </w:rPr>
  </w:style>
  <w:style w:type="character" w:customStyle="1" w:styleId="CustomnumbersChar">
    <w:name w:val="Custom numbers Char"/>
    <w:basedOn w:val="Heading3Char"/>
    <w:link w:val="Customnumbers"/>
    <w:rsid w:val="005E2E76"/>
    <w:rPr>
      <w:rFonts w:eastAsia="Times New Roman" w:cs="Arial"/>
      <w:bCs w:val="0"/>
      <w:lang w:val="en-AU"/>
    </w:rPr>
  </w:style>
  <w:style w:type="character" w:styleId="FollowedHyperlink">
    <w:name w:val="FollowedHyperlink"/>
    <w:basedOn w:val="DefaultParagraphFont"/>
    <w:uiPriority w:val="99"/>
    <w:semiHidden/>
    <w:unhideWhenUsed/>
    <w:rsid w:val="003F7389"/>
    <w:rPr>
      <w:color w:val="800080" w:themeColor="followedHyperlink"/>
      <w:u w:val="single"/>
    </w:rPr>
  </w:style>
  <w:style w:type="paragraph" w:styleId="TOCHeading">
    <w:name w:val="TOC Heading"/>
    <w:basedOn w:val="Heading1"/>
    <w:next w:val="Normal"/>
    <w:uiPriority w:val="39"/>
    <w:unhideWhenUsed/>
    <w:qFormat/>
    <w:rsid w:val="003B5DF1"/>
    <w:pPr>
      <w:numPr>
        <w:numId w:val="0"/>
      </w:numPr>
      <w:spacing w:after="0"/>
      <w:outlineLvl w:val="9"/>
    </w:pPr>
    <w:rPr>
      <w:color w:val="365F91" w:themeColor="accent1" w:themeShade="BF"/>
      <w:lang w:val="en-US"/>
    </w:rPr>
  </w:style>
  <w:style w:type="paragraph" w:styleId="TOC1">
    <w:name w:val="toc 1"/>
    <w:basedOn w:val="Normal"/>
    <w:next w:val="Normal"/>
    <w:autoRedefine/>
    <w:uiPriority w:val="39"/>
    <w:unhideWhenUsed/>
    <w:rsid w:val="003B5DF1"/>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3B5DF1"/>
    <w:pPr>
      <w:spacing w:after="0"/>
      <w:ind w:left="220"/>
    </w:pPr>
    <w:rPr>
      <w:rFonts w:asciiTheme="minorHAnsi" w:hAnsiTheme="minorHAnsi"/>
      <w:b/>
    </w:rPr>
  </w:style>
  <w:style w:type="paragraph" w:styleId="TOC3">
    <w:name w:val="toc 3"/>
    <w:basedOn w:val="Normal"/>
    <w:next w:val="Normal"/>
    <w:autoRedefine/>
    <w:uiPriority w:val="39"/>
    <w:unhideWhenUsed/>
    <w:rsid w:val="003B5DF1"/>
    <w:pPr>
      <w:spacing w:after="0"/>
      <w:ind w:left="440"/>
    </w:pPr>
    <w:rPr>
      <w:rFonts w:asciiTheme="minorHAnsi" w:hAnsiTheme="minorHAnsi"/>
    </w:rPr>
  </w:style>
  <w:style w:type="paragraph" w:styleId="TOC4">
    <w:name w:val="toc 4"/>
    <w:basedOn w:val="Normal"/>
    <w:next w:val="Normal"/>
    <w:autoRedefine/>
    <w:uiPriority w:val="39"/>
    <w:unhideWhenUsed/>
    <w:rsid w:val="003B5DF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B5DF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B5DF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3B5DF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3B5DF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3B5DF1"/>
    <w:pPr>
      <w:spacing w:after="0"/>
      <w:ind w:left="1760"/>
    </w:pPr>
    <w:rPr>
      <w:rFonts w:asciiTheme="minorHAnsi" w:hAnsiTheme="minorHAnsi"/>
      <w:sz w:val="20"/>
      <w:szCs w:val="20"/>
    </w:rPr>
  </w:style>
  <w:style w:type="paragraph" w:customStyle="1" w:styleId="CoverHeading">
    <w:name w:val="Cover Heading"/>
    <w:basedOn w:val="Normal"/>
    <w:uiPriority w:val="99"/>
    <w:rsid w:val="00EC78B2"/>
    <w:pPr>
      <w:autoSpaceDE w:val="0"/>
      <w:autoSpaceDN w:val="0"/>
      <w:adjustRightInd w:val="0"/>
      <w:spacing w:after="0" w:line="940" w:lineRule="atLeast"/>
      <w:textAlignment w:val="center"/>
    </w:pPr>
    <w:rPr>
      <w:rFonts w:ascii="Helvetica Neue Bold" w:eastAsia="Helvetica Neue Bold" w:hAnsiTheme="minorHAnsi" w:cs="Helvetica Neue Bold"/>
      <w:b/>
      <w:bCs/>
      <w:color w:val="FFFFFF"/>
      <w:sz w:val="94"/>
      <w:szCs w:val="9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16272">
      <w:bodyDiv w:val="1"/>
      <w:marLeft w:val="0"/>
      <w:marRight w:val="0"/>
      <w:marTop w:val="0"/>
      <w:marBottom w:val="0"/>
      <w:divBdr>
        <w:top w:val="none" w:sz="0" w:space="0" w:color="auto"/>
        <w:left w:val="none" w:sz="0" w:space="0" w:color="auto"/>
        <w:bottom w:val="none" w:sz="0" w:space="0" w:color="auto"/>
        <w:right w:val="none" w:sz="0" w:space="0" w:color="auto"/>
      </w:divBdr>
    </w:div>
    <w:div w:id="534469911">
      <w:bodyDiv w:val="1"/>
      <w:marLeft w:val="0"/>
      <w:marRight w:val="0"/>
      <w:marTop w:val="0"/>
      <w:marBottom w:val="0"/>
      <w:divBdr>
        <w:top w:val="none" w:sz="0" w:space="0" w:color="auto"/>
        <w:left w:val="none" w:sz="0" w:space="0" w:color="auto"/>
        <w:bottom w:val="none" w:sz="0" w:space="0" w:color="auto"/>
        <w:right w:val="none" w:sz="0" w:space="0" w:color="auto"/>
      </w:divBdr>
      <w:divsChild>
        <w:div w:id="549926409">
          <w:marLeft w:val="0"/>
          <w:marRight w:val="0"/>
          <w:marTop w:val="0"/>
          <w:marBottom w:val="0"/>
          <w:divBdr>
            <w:top w:val="none" w:sz="0" w:space="0" w:color="auto"/>
            <w:left w:val="none" w:sz="0" w:space="0" w:color="auto"/>
            <w:bottom w:val="none" w:sz="0" w:space="0" w:color="auto"/>
            <w:right w:val="none" w:sz="0" w:space="0" w:color="auto"/>
          </w:divBdr>
          <w:divsChild>
            <w:div w:id="1612785988">
              <w:marLeft w:val="0"/>
              <w:marRight w:val="0"/>
              <w:marTop w:val="0"/>
              <w:marBottom w:val="0"/>
              <w:divBdr>
                <w:top w:val="none" w:sz="0" w:space="0" w:color="auto"/>
                <w:left w:val="none" w:sz="0" w:space="0" w:color="auto"/>
                <w:bottom w:val="none" w:sz="0" w:space="0" w:color="auto"/>
                <w:right w:val="none" w:sz="0" w:space="0" w:color="auto"/>
              </w:divBdr>
              <w:divsChild>
                <w:div w:id="1133643826">
                  <w:marLeft w:val="0"/>
                  <w:marRight w:val="0"/>
                  <w:marTop w:val="0"/>
                  <w:marBottom w:val="0"/>
                  <w:divBdr>
                    <w:top w:val="none" w:sz="0" w:space="0" w:color="auto"/>
                    <w:left w:val="none" w:sz="0" w:space="0" w:color="auto"/>
                    <w:bottom w:val="none" w:sz="0" w:space="0" w:color="auto"/>
                    <w:right w:val="none" w:sz="0" w:space="0" w:color="auto"/>
                  </w:divBdr>
                  <w:divsChild>
                    <w:div w:id="1891915650">
                      <w:marLeft w:val="0"/>
                      <w:marRight w:val="0"/>
                      <w:marTop w:val="0"/>
                      <w:marBottom w:val="0"/>
                      <w:divBdr>
                        <w:top w:val="none" w:sz="0" w:space="0" w:color="auto"/>
                        <w:left w:val="none" w:sz="0" w:space="0" w:color="auto"/>
                        <w:bottom w:val="none" w:sz="0" w:space="0" w:color="auto"/>
                        <w:right w:val="none" w:sz="0" w:space="0" w:color="auto"/>
                      </w:divBdr>
                      <w:divsChild>
                        <w:div w:id="1486974279">
                          <w:marLeft w:val="0"/>
                          <w:marRight w:val="0"/>
                          <w:marTop w:val="0"/>
                          <w:marBottom w:val="0"/>
                          <w:divBdr>
                            <w:top w:val="none" w:sz="0" w:space="0" w:color="auto"/>
                            <w:left w:val="none" w:sz="0" w:space="0" w:color="auto"/>
                            <w:bottom w:val="none" w:sz="0" w:space="0" w:color="auto"/>
                            <w:right w:val="none" w:sz="0" w:space="0" w:color="auto"/>
                          </w:divBdr>
                          <w:divsChild>
                            <w:div w:id="1110707422">
                              <w:marLeft w:val="0"/>
                              <w:marRight w:val="0"/>
                              <w:marTop w:val="0"/>
                              <w:marBottom w:val="0"/>
                              <w:divBdr>
                                <w:top w:val="none" w:sz="0" w:space="0" w:color="auto"/>
                                <w:left w:val="none" w:sz="0" w:space="0" w:color="auto"/>
                                <w:bottom w:val="none" w:sz="0" w:space="0" w:color="auto"/>
                                <w:right w:val="none" w:sz="0" w:space="0" w:color="auto"/>
                              </w:divBdr>
                            </w:div>
                            <w:div w:id="592974286">
                              <w:marLeft w:val="0"/>
                              <w:marRight w:val="0"/>
                              <w:marTop w:val="0"/>
                              <w:marBottom w:val="0"/>
                              <w:divBdr>
                                <w:top w:val="none" w:sz="0" w:space="0" w:color="auto"/>
                                <w:left w:val="none" w:sz="0" w:space="0" w:color="auto"/>
                                <w:bottom w:val="none" w:sz="0" w:space="0" w:color="auto"/>
                                <w:right w:val="none" w:sz="0" w:space="0" w:color="auto"/>
                              </w:divBdr>
                            </w:div>
                            <w:div w:id="641738600">
                              <w:marLeft w:val="0"/>
                              <w:marRight w:val="0"/>
                              <w:marTop w:val="0"/>
                              <w:marBottom w:val="0"/>
                              <w:divBdr>
                                <w:top w:val="none" w:sz="0" w:space="0" w:color="auto"/>
                                <w:left w:val="none" w:sz="0" w:space="0" w:color="auto"/>
                                <w:bottom w:val="none" w:sz="0" w:space="0" w:color="auto"/>
                                <w:right w:val="none" w:sz="0" w:space="0" w:color="auto"/>
                              </w:divBdr>
                            </w:div>
                            <w:div w:id="1180706305">
                              <w:marLeft w:val="0"/>
                              <w:marRight w:val="0"/>
                              <w:marTop w:val="0"/>
                              <w:marBottom w:val="0"/>
                              <w:divBdr>
                                <w:top w:val="none" w:sz="0" w:space="0" w:color="auto"/>
                                <w:left w:val="none" w:sz="0" w:space="0" w:color="auto"/>
                                <w:bottom w:val="none" w:sz="0" w:space="0" w:color="auto"/>
                                <w:right w:val="none" w:sz="0" w:space="0" w:color="auto"/>
                              </w:divBdr>
                            </w:div>
                            <w:div w:id="487021811">
                              <w:marLeft w:val="0"/>
                              <w:marRight w:val="0"/>
                              <w:marTop w:val="0"/>
                              <w:marBottom w:val="0"/>
                              <w:divBdr>
                                <w:top w:val="none" w:sz="0" w:space="0" w:color="auto"/>
                                <w:left w:val="none" w:sz="0" w:space="0" w:color="auto"/>
                                <w:bottom w:val="none" w:sz="0" w:space="0" w:color="auto"/>
                                <w:right w:val="none" w:sz="0" w:space="0" w:color="auto"/>
                              </w:divBdr>
                            </w:div>
                            <w:div w:id="1981811067">
                              <w:marLeft w:val="0"/>
                              <w:marRight w:val="0"/>
                              <w:marTop w:val="0"/>
                              <w:marBottom w:val="0"/>
                              <w:divBdr>
                                <w:top w:val="none" w:sz="0" w:space="0" w:color="auto"/>
                                <w:left w:val="none" w:sz="0" w:space="0" w:color="auto"/>
                                <w:bottom w:val="none" w:sz="0" w:space="0" w:color="auto"/>
                                <w:right w:val="none" w:sz="0" w:space="0" w:color="auto"/>
                              </w:divBdr>
                            </w:div>
                            <w:div w:id="866913031">
                              <w:marLeft w:val="0"/>
                              <w:marRight w:val="0"/>
                              <w:marTop w:val="0"/>
                              <w:marBottom w:val="0"/>
                              <w:divBdr>
                                <w:top w:val="none" w:sz="0" w:space="0" w:color="auto"/>
                                <w:left w:val="none" w:sz="0" w:space="0" w:color="auto"/>
                                <w:bottom w:val="none" w:sz="0" w:space="0" w:color="auto"/>
                                <w:right w:val="none" w:sz="0" w:space="0" w:color="auto"/>
                              </w:divBdr>
                            </w:div>
                            <w:div w:id="651717503">
                              <w:marLeft w:val="0"/>
                              <w:marRight w:val="0"/>
                              <w:marTop w:val="0"/>
                              <w:marBottom w:val="0"/>
                              <w:divBdr>
                                <w:top w:val="none" w:sz="0" w:space="0" w:color="auto"/>
                                <w:left w:val="none" w:sz="0" w:space="0" w:color="auto"/>
                                <w:bottom w:val="none" w:sz="0" w:space="0" w:color="auto"/>
                                <w:right w:val="none" w:sz="0" w:space="0" w:color="auto"/>
                              </w:divBdr>
                            </w:div>
                            <w:div w:id="3780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1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bintranet.hobsonsbay.vic.gov.au/files/f7cac6bf-730b-48a6-b7b4-a3f700b28cd4/Hobsons_Bay_Code_of_Conduct_-_Oct_2014.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obsonsbay.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CA5A2-45CC-4D0F-A6EF-E2947D4A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Manager Information Services</vt:lpstr>
    </vt:vector>
  </TitlesOfParts>
  <Company/>
  <LinksUpToDate>false</LinksUpToDate>
  <CharactersWithSpaces>22128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Information Services</dc:title>
  <dc:subject>Information Security</dc:subject>
  <dc:creator>Roger Verwey</dc:creator>
  <cp:lastModifiedBy>Brittney McCarthy</cp:lastModifiedBy>
  <cp:revision>2</cp:revision>
  <cp:lastPrinted>2016-02-14T23:11:00Z</cp:lastPrinted>
  <dcterms:created xsi:type="dcterms:W3CDTF">2016-03-29T04:18:00Z</dcterms:created>
  <dcterms:modified xsi:type="dcterms:W3CDTF">2016-03-29T04:18:00Z</dcterms:modified>
  <cp:contentStatus>Endorsed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A2320293</vt:lpwstr>
  </property>
  <property fmtid="{D5CDD505-2E9C-101B-9397-08002B2CF9AE}" pid="4" name="Objective-Title">
    <vt:lpwstr>2016 Privacy Policy v1.2 FINAL</vt:lpwstr>
  </property>
  <property fmtid="{D5CDD505-2E9C-101B-9397-08002B2CF9AE}" pid="5" name="Objective-Comment">
    <vt:lpwstr/>
  </property>
  <property fmtid="{D5CDD505-2E9C-101B-9397-08002B2CF9AE}" pid="6" name="Objective-CreationStamp">
    <vt:filetime>2016-02-21T23:26:40Z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2016-03-22T23:15:44Z</vt:filetime>
  </property>
  <property fmtid="{D5CDD505-2E9C-101B-9397-08002B2CF9AE}" pid="10" name="Objective-ModificationStamp">
    <vt:filetime>2016-03-22T23:15:45Z</vt:filetime>
  </property>
  <property fmtid="{D5CDD505-2E9C-101B-9397-08002B2CF9AE}" pid="11" name="Objective-Owner">
    <vt:lpwstr>Roger Verwey</vt:lpwstr>
  </property>
  <property fmtid="{D5CDD505-2E9C-101B-9397-08002B2CF9AE}" pid="12" name="Objective-Path">
    <vt:lpwstr>Privacy Policies and Privacy Guide:2016 Privacy Policy:.2016 Privacy Policy FINAL:</vt:lpwstr>
  </property>
  <property fmtid="{D5CDD505-2E9C-101B-9397-08002B2CF9AE}" pid="13" name="Objective-Parent">
    <vt:lpwstr>.2016 Privacy Policy FINAL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qA13211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Business Unit [system]">
    <vt:lpwstr/>
  </property>
  <property fmtid="{D5CDD505-2E9C-101B-9397-08002B2CF9AE}" pid="22" name="Objective-Document Type [system]">
    <vt:lpwstr/>
  </property>
</Properties>
</file>