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627" w:rsidRPr="00C94627" w:rsidRDefault="00C94627" w:rsidP="00C94627">
      <w:pPr>
        <w:spacing w:after="0" w:line="240" w:lineRule="auto"/>
        <w:ind w:left="-1800" w:right="-1800"/>
        <w:rPr>
          <w:rFonts w:ascii="Arial" w:hAnsi="Arial" w:cs="Arial"/>
        </w:rPr>
      </w:pPr>
    </w:p>
    <w:p w:rsidR="00C94627" w:rsidRPr="00C94627" w:rsidRDefault="00C94627" w:rsidP="00C94627">
      <w:pPr>
        <w:spacing w:after="0" w:line="240" w:lineRule="auto"/>
        <w:rPr>
          <w:rFonts w:ascii="Arial" w:hAnsi="Arial" w:cs="Arial"/>
        </w:rPr>
      </w:pPr>
    </w:p>
    <w:p w:rsidR="00C94627" w:rsidRPr="00C94627" w:rsidRDefault="00C94627" w:rsidP="00C94627">
      <w:pPr>
        <w:spacing w:after="0" w:line="240" w:lineRule="auto"/>
        <w:ind w:firstLine="720"/>
        <w:rPr>
          <w:rFonts w:ascii="Arial" w:hAnsi="Arial" w:cs="Arial"/>
        </w:rPr>
        <w:sectPr w:rsidR="00C94627" w:rsidRPr="00C94627" w:rsidSect="00703520">
          <w:headerReference w:type="default" r:id="rId8"/>
          <w:footerReference w:type="default" r:id="rId9"/>
          <w:pgSz w:w="11900" w:h="16840"/>
          <w:pgMar w:top="4798" w:right="0" w:bottom="0" w:left="0" w:header="0" w:footer="708" w:gutter="0"/>
          <w:cols w:space="708"/>
        </w:sectPr>
      </w:pPr>
    </w:p>
    <w:p w:rsidR="00C94627" w:rsidRPr="00C94627" w:rsidRDefault="00C94627" w:rsidP="00C94627">
      <w:pPr>
        <w:pStyle w:val="HeadingA"/>
        <w:rPr>
          <w:color w:val="2A4A70"/>
          <w:sz w:val="22"/>
          <w:szCs w:val="22"/>
        </w:rPr>
      </w:pPr>
      <w:bookmarkStart w:id="0" w:name="_Toc334625893"/>
      <w:bookmarkStart w:id="1" w:name="_Toc334712366"/>
    </w:p>
    <w:p w:rsidR="00C94627" w:rsidRPr="00C94627" w:rsidRDefault="00C94627" w:rsidP="00C94627">
      <w:pPr>
        <w:pStyle w:val="HeadingA"/>
        <w:rPr>
          <w:color w:val="2A4A70"/>
          <w:sz w:val="22"/>
          <w:szCs w:val="22"/>
        </w:rPr>
      </w:pPr>
    </w:p>
    <w:p w:rsidR="00C94627" w:rsidRPr="00C94627" w:rsidRDefault="00C94627" w:rsidP="00C94627">
      <w:pPr>
        <w:pStyle w:val="HeadingA"/>
        <w:rPr>
          <w:color w:val="2A4A70"/>
          <w:sz w:val="22"/>
          <w:szCs w:val="22"/>
        </w:rPr>
      </w:pPr>
    </w:p>
    <w:p w:rsidR="00C94627" w:rsidRPr="00C94627" w:rsidRDefault="00C94627" w:rsidP="00C94627">
      <w:pPr>
        <w:pStyle w:val="HeadingA"/>
        <w:rPr>
          <w:color w:val="2A4A70"/>
          <w:sz w:val="22"/>
          <w:szCs w:val="22"/>
        </w:rPr>
      </w:pPr>
      <w:r w:rsidRPr="00C94627">
        <w:rPr>
          <w:color w:val="2A4A70"/>
          <w:sz w:val="22"/>
          <w:szCs w:val="22"/>
        </w:rPr>
        <w:t xml:space="preserve"> </w:t>
      </w:r>
    </w:p>
    <w:p w:rsidR="00C94627" w:rsidRPr="00C94627" w:rsidRDefault="00C94627" w:rsidP="00C94627">
      <w:pPr>
        <w:pStyle w:val="HeadingA"/>
        <w:rPr>
          <w:color w:val="2A4A70"/>
          <w:sz w:val="22"/>
          <w:szCs w:val="22"/>
        </w:rPr>
      </w:pPr>
    </w:p>
    <w:p w:rsidR="00C94627" w:rsidRPr="00C94627" w:rsidRDefault="00C94627" w:rsidP="00C94627">
      <w:pPr>
        <w:pStyle w:val="HeadingA"/>
        <w:rPr>
          <w:color w:val="2A4A70"/>
          <w:sz w:val="22"/>
          <w:szCs w:val="22"/>
        </w:rPr>
      </w:pPr>
    </w:p>
    <w:p w:rsidR="00C94627" w:rsidRPr="00C94627" w:rsidRDefault="00C94627" w:rsidP="00C94627">
      <w:pPr>
        <w:pStyle w:val="HeadingA"/>
        <w:rPr>
          <w:color w:val="2A4A70"/>
          <w:sz w:val="22"/>
          <w:szCs w:val="22"/>
        </w:rPr>
      </w:pPr>
    </w:p>
    <w:p w:rsidR="00C94627" w:rsidRPr="00C94627" w:rsidRDefault="00C94627" w:rsidP="00C94627">
      <w:pPr>
        <w:pStyle w:val="HeadingA"/>
        <w:rPr>
          <w:color w:val="2A4A70"/>
          <w:sz w:val="22"/>
          <w:szCs w:val="22"/>
        </w:rPr>
      </w:pPr>
    </w:p>
    <w:p w:rsidR="00C94627" w:rsidRPr="00C94627" w:rsidRDefault="00C94627" w:rsidP="00C94627">
      <w:pPr>
        <w:pStyle w:val="Heading1"/>
        <w:spacing w:before="0" w:line="240" w:lineRule="auto"/>
        <w:rPr>
          <w:rFonts w:ascii="Arial" w:hAnsi="Arial" w:cs="Arial"/>
          <w:b w:val="0"/>
          <w:sz w:val="22"/>
          <w:szCs w:val="22"/>
        </w:rPr>
      </w:pPr>
      <w:bookmarkStart w:id="2" w:name="_Toc364241594"/>
      <w:bookmarkEnd w:id="0"/>
      <w:bookmarkEnd w:id="1"/>
      <w:r w:rsidRPr="00C94627">
        <w:rPr>
          <w:rFonts w:ascii="Arial" w:hAnsi="Arial" w:cs="Arial"/>
          <w:sz w:val="22"/>
          <w:szCs w:val="22"/>
        </w:rPr>
        <w:t xml:space="preserve"> </w:t>
      </w:r>
      <w:bookmarkEnd w:id="2"/>
    </w:p>
    <w:p w:rsidR="00F16EB8" w:rsidRDefault="00C94627" w:rsidP="00F16EB8">
      <w:pPr>
        <w:pStyle w:val="Title"/>
        <w:spacing w:after="0"/>
        <w:rPr>
          <w:rFonts w:cs="Arial"/>
          <w:sz w:val="44"/>
          <w:szCs w:val="22"/>
        </w:rPr>
      </w:pPr>
      <w:r w:rsidRPr="00C94627">
        <w:rPr>
          <w:rFonts w:cs="Arial"/>
          <w:sz w:val="44"/>
          <w:szCs w:val="22"/>
        </w:rPr>
        <w:t>Hobs</w:t>
      </w:r>
      <w:r w:rsidR="00F16EB8">
        <w:rPr>
          <w:rFonts w:cs="Arial"/>
          <w:sz w:val="44"/>
          <w:szCs w:val="22"/>
        </w:rPr>
        <w:t xml:space="preserve">ons Bay City Council Submission </w:t>
      </w:r>
    </w:p>
    <w:p w:rsidR="002E21B8" w:rsidRPr="00F16EB8" w:rsidRDefault="00C94D86" w:rsidP="00F16EB8">
      <w:pPr>
        <w:pStyle w:val="Title"/>
        <w:spacing w:after="0"/>
        <w:rPr>
          <w:rFonts w:cs="Arial"/>
          <w:sz w:val="44"/>
          <w:szCs w:val="22"/>
        </w:rPr>
      </w:pPr>
      <w:r w:rsidRPr="00C94D86">
        <w:rPr>
          <w:rFonts w:cs="Arial"/>
          <w:sz w:val="44"/>
          <w:szCs w:val="22"/>
          <w:lang w:val="en-AU"/>
        </w:rPr>
        <w:t>to</w:t>
      </w:r>
      <w:r w:rsidR="00BA590E">
        <w:rPr>
          <w:rFonts w:cs="Arial"/>
          <w:sz w:val="44"/>
          <w:szCs w:val="22"/>
        </w:rPr>
        <w:t xml:space="preserve"> </w:t>
      </w:r>
      <w:r w:rsidR="00BA590E" w:rsidRPr="00BA590E">
        <w:rPr>
          <w:rFonts w:cs="Arial"/>
          <w:sz w:val="44"/>
          <w:szCs w:val="44"/>
        </w:rPr>
        <w:t>the</w:t>
      </w:r>
    </w:p>
    <w:p w:rsidR="00C94627" w:rsidRDefault="00C94D86" w:rsidP="00C94627">
      <w:pPr>
        <w:pStyle w:val="Title"/>
        <w:spacing w:after="0"/>
        <w:rPr>
          <w:rFonts w:eastAsia="Times New Roman" w:cs="Arial"/>
          <w:sz w:val="44"/>
          <w:szCs w:val="44"/>
          <w:lang w:eastAsia="en-AU"/>
        </w:rPr>
      </w:pPr>
      <w:r w:rsidRPr="00F16EB8">
        <w:rPr>
          <w:rFonts w:cs="Arial"/>
          <w:sz w:val="44"/>
          <w:szCs w:val="22"/>
        </w:rPr>
        <w:t>Senate Economics References Committee</w:t>
      </w:r>
      <w:r w:rsidR="002E21B8" w:rsidRPr="00BA590E" w:rsidDel="002E21B8">
        <w:rPr>
          <w:rFonts w:eastAsia="Times New Roman" w:cs="Arial"/>
          <w:sz w:val="44"/>
          <w:szCs w:val="44"/>
          <w:lang w:eastAsia="en-AU"/>
        </w:rPr>
        <w:t xml:space="preserve"> </w:t>
      </w:r>
      <w:r w:rsidR="002E21B8">
        <w:rPr>
          <w:rFonts w:eastAsia="Times New Roman" w:cs="Arial"/>
          <w:sz w:val="44"/>
          <w:szCs w:val="44"/>
          <w:lang w:eastAsia="en-AU"/>
        </w:rPr>
        <w:t>I</w:t>
      </w:r>
      <w:r w:rsidR="00BA590E" w:rsidRPr="00BA590E">
        <w:rPr>
          <w:rFonts w:eastAsia="Times New Roman" w:cs="Arial"/>
          <w:sz w:val="44"/>
          <w:szCs w:val="44"/>
          <w:lang w:eastAsia="en-AU"/>
        </w:rPr>
        <w:t>nquiry into Affordable Housing</w:t>
      </w:r>
    </w:p>
    <w:p w:rsidR="00BD1C47" w:rsidRDefault="00BD1C47">
      <w:pPr>
        <w:rPr>
          <w:lang w:eastAsia="en-AU"/>
        </w:rPr>
      </w:pPr>
    </w:p>
    <w:p w:rsidR="00C94627" w:rsidRDefault="00C94627" w:rsidP="00C94627">
      <w:pPr>
        <w:spacing w:after="0" w:line="240" w:lineRule="auto"/>
        <w:rPr>
          <w:rStyle w:val="BookTitle"/>
          <w:rFonts w:ascii="Arial" w:hAnsi="Arial" w:cs="Arial"/>
          <w:b w:val="0"/>
          <w:color w:val="17365D"/>
        </w:rPr>
      </w:pPr>
    </w:p>
    <w:p w:rsidR="00C94627" w:rsidRPr="002E21B8" w:rsidRDefault="00A56A05" w:rsidP="00C94627">
      <w:pPr>
        <w:spacing w:after="0" w:line="240" w:lineRule="auto"/>
        <w:rPr>
          <w:rStyle w:val="BookTitle"/>
          <w:rFonts w:ascii="Arial" w:hAnsi="Arial" w:cs="Arial"/>
          <w:b w:val="0"/>
          <w:color w:val="17365D"/>
          <w:sz w:val="32"/>
          <w:szCs w:val="32"/>
        </w:rPr>
      </w:pPr>
      <w:r>
        <w:rPr>
          <w:rStyle w:val="BookTitle"/>
          <w:rFonts w:ascii="Arial" w:hAnsi="Arial" w:cs="Arial"/>
          <w:b w:val="0"/>
          <w:color w:val="17365D"/>
          <w:sz w:val="32"/>
          <w:szCs w:val="32"/>
        </w:rPr>
        <w:t>March</w:t>
      </w:r>
      <w:r w:rsidR="00C94D86" w:rsidRPr="00C94D86">
        <w:rPr>
          <w:rStyle w:val="BookTitle"/>
          <w:rFonts w:ascii="Arial" w:hAnsi="Arial" w:cs="Arial"/>
          <w:b w:val="0"/>
          <w:color w:val="17365D"/>
          <w:sz w:val="32"/>
          <w:szCs w:val="32"/>
        </w:rPr>
        <w:t xml:space="preserve"> 2014</w:t>
      </w:r>
    </w:p>
    <w:p w:rsidR="00C94627" w:rsidRPr="00C94627" w:rsidRDefault="00C94627" w:rsidP="00C94627">
      <w:pPr>
        <w:spacing w:after="0" w:line="240" w:lineRule="auto"/>
        <w:rPr>
          <w:rFonts w:ascii="Arial" w:hAnsi="Arial" w:cs="Arial"/>
          <w:color w:val="005480"/>
        </w:rPr>
      </w:pPr>
    </w:p>
    <w:p w:rsidR="00C94627" w:rsidRPr="00C94627" w:rsidRDefault="00C94627" w:rsidP="00C94627">
      <w:pPr>
        <w:spacing w:after="0" w:line="240" w:lineRule="auto"/>
        <w:rPr>
          <w:rFonts w:ascii="Arial" w:hAnsi="Arial" w:cs="Arial"/>
          <w:color w:val="005480"/>
        </w:rPr>
      </w:pPr>
    </w:p>
    <w:p w:rsidR="00C94627" w:rsidRPr="00C94627" w:rsidRDefault="00C94627" w:rsidP="00C94627">
      <w:pPr>
        <w:spacing w:after="0" w:line="240" w:lineRule="auto"/>
        <w:rPr>
          <w:rFonts w:ascii="Arial" w:hAnsi="Arial" w:cs="Arial"/>
          <w:color w:val="005480"/>
        </w:rPr>
      </w:pPr>
    </w:p>
    <w:p w:rsidR="00C94627" w:rsidRPr="00C94627" w:rsidRDefault="00C94627" w:rsidP="00C94627">
      <w:pPr>
        <w:spacing w:after="0" w:line="240" w:lineRule="auto"/>
        <w:rPr>
          <w:rFonts w:ascii="Arial" w:hAnsi="Arial" w:cs="Arial"/>
          <w:color w:val="005480"/>
        </w:rPr>
      </w:pPr>
    </w:p>
    <w:p w:rsidR="00C94627" w:rsidRPr="00C94627" w:rsidRDefault="00C94627" w:rsidP="00C94627">
      <w:pPr>
        <w:spacing w:after="0" w:line="240" w:lineRule="auto"/>
        <w:rPr>
          <w:rFonts w:ascii="Arial" w:hAnsi="Arial" w:cs="Arial"/>
          <w:color w:val="005480"/>
        </w:rPr>
      </w:pPr>
    </w:p>
    <w:p w:rsidR="00C94627" w:rsidRPr="00C94627" w:rsidRDefault="00C94627" w:rsidP="00C94627">
      <w:pPr>
        <w:spacing w:after="0" w:line="240" w:lineRule="auto"/>
        <w:rPr>
          <w:rFonts w:ascii="Arial" w:hAnsi="Arial" w:cs="Arial"/>
          <w:color w:val="005480"/>
        </w:rPr>
      </w:pPr>
    </w:p>
    <w:p w:rsidR="00C94627" w:rsidRPr="00C94627" w:rsidRDefault="00C94627" w:rsidP="00C94627">
      <w:pPr>
        <w:spacing w:after="0" w:line="240" w:lineRule="auto"/>
        <w:rPr>
          <w:rFonts w:ascii="Arial" w:hAnsi="Arial" w:cs="Arial"/>
          <w:color w:val="005480"/>
        </w:rPr>
      </w:pPr>
    </w:p>
    <w:p w:rsidR="00C94627" w:rsidRPr="00C94627" w:rsidRDefault="00C94627" w:rsidP="00C94627">
      <w:pPr>
        <w:spacing w:after="0" w:line="240" w:lineRule="auto"/>
        <w:rPr>
          <w:rFonts w:ascii="Arial" w:hAnsi="Arial" w:cs="Arial"/>
          <w:b/>
        </w:rPr>
      </w:pPr>
    </w:p>
    <w:p w:rsidR="00C94627" w:rsidRPr="00C94627" w:rsidRDefault="00C94627" w:rsidP="00C94627">
      <w:pPr>
        <w:spacing w:after="0" w:line="240" w:lineRule="auto"/>
        <w:rPr>
          <w:rFonts w:ascii="Arial" w:hAnsi="Arial" w:cs="Arial"/>
        </w:rPr>
        <w:sectPr w:rsidR="00C94627" w:rsidRPr="00C94627" w:rsidSect="00C94627">
          <w:headerReference w:type="even" r:id="rId10"/>
          <w:headerReference w:type="default" r:id="rId11"/>
          <w:footerReference w:type="default" r:id="rId12"/>
          <w:headerReference w:type="first" r:id="rId13"/>
          <w:type w:val="continuous"/>
          <w:pgSz w:w="11900" w:h="16840"/>
          <w:pgMar w:top="1440" w:right="1440" w:bottom="1440" w:left="1440" w:header="0" w:footer="1117" w:gutter="0"/>
          <w:cols w:space="708"/>
          <w:docGrid w:linePitch="299"/>
        </w:sectPr>
      </w:pPr>
    </w:p>
    <w:p w:rsidR="00C94627" w:rsidRPr="00C94627" w:rsidRDefault="00C94627" w:rsidP="00C94627">
      <w:pPr>
        <w:spacing w:after="0" w:line="240" w:lineRule="auto"/>
        <w:rPr>
          <w:rFonts w:ascii="Arial" w:hAnsi="Arial" w:cs="Arial"/>
          <w:b/>
        </w:rPr>
      </w:pPr>
    </w:p>
    <w:p w:rsidR="00C94627" w:rsidRPr="00C94627" w:rsidRDefault="00C94627" w:rsidP="00C94627">
      <w:pPr>
        <w:spacing w:after="0" w:line="240" w:lineRule="auto"/>
        <w:rPr>
          <w:rFonts w:ascii="Arial" w:hAnsi="Arial" w:cs="Arial"/>
          <w:b/>
        </w:rPr>
      </w:pPr>
    </w:p>
    <w:p w:rsidR="00C94627" w:rsidRPr="00C94627" w:rsidRDefault="00C94627" w:rsidP="00C94627">
      <w:pPr>
        <w:spacing w:after="0" w:line="240" w:lineRule="auto"/>
        <w:rPr>
          <w:rFonts w:ascii="Arial" w:hAnsi="Arial" w:cs="Arial"/>
          <w:b/>
        </w:rPr>
      </w:pPr>
    </w:p>
    <w:p w:rsidR="00C94627" w:rsidRPr="00C94627" w:rsidRDefault="00C94627" w:rsidP="00C94627">
      <w:pPr>
        <w:spacing w:after="0" w:line="240" w:lineRule="auto"/>
        <w:rPr>
          <w:rFonts w:ascii="Arial" w:hAnsi="Arial" w:cs="Arial"/>
          <w:b/>
        </w:rPr>
      </w:pPr>
    </w:p>
    <w:p w:rsidR="00C94627" w:rsidRPr="00C94627" w:rsidRDefault="00C94627" w:rsidP="00C94627">
      <w:pPr>
        <w:spacing w:after="0" w:line="240" w:lineRule="auto"/>
        <w:rPr>
          <w:rFonts w:ascii="Arial" w:hAnsi="Arial" w:cs="Arial"/>
          <w:b/>
        </w:rPr>
      </w:pPr>
    </w:p>
    <w:p w:rsidR="00C94627" w:rsidRPr="00C94627" w:rsidRDefault="00C94627" w:rsidP="00C94627">
      <w:pPr>
        <w:spacing w:after="0" w:line="240" w:lineRule="auto"/>
        <w:rPr>
          <w:rFonts w:ascii="Arial" w:hAnsi="Arial" w:cs="Arial"/>
          <w:b/>
        </w:rPr>
      </w:pPr>
    </w:p>
    <w:p w:rsidR="00C94627" w:rsidRPr="00C94627" w:rsidRDefault="00C94627" w:rsidP="00C94627">
      <w:pPr>
        <w:spacing w:after="0" w:line="240" w:lineRule="auto"/>
        <w:rPr>
          <w:rFonts w:ascii="Arial" w:hAnsi="Arial" w:cs="Arial"/>
          <w:b/>
        </w:rPr>
      </w:pPr>
    </w:p>
    <w:p w:rsidR="00C94627" w:rsidRPr="00C94627" w:rsidRDefault="00C94627" w:rsidP="00C94627">
      <w:pPr>
        <w:spacing w:after="0" w:line="240" w:lineRule="auto"/>
        <w:rPr>
          <w:rFonts w:ascii="Arial" w:hAnsi="Arial" w:cs="Arial"/>
          <w:b/>
        </w:rPr>
      </w:pPr>
    </w:p>
    <w:p w:rsidR="00C94627" w:rsidRPr="00C94627" w:rsidRDefault="00C94627" w:rsidP="00C94627">
      <w:pPr>
        <w:spacing w:after="0" w:line="240" w:lineRule="auto"/>
        <w:rPr>
          <w:rFonts w:ascii="Arial" w:hAnsi="Arial" w:cs="Arial"/>
          <w:b/>
        </w:rPr>
      </w:pPr>
    </w:p>
    <w:p w:rsidR="00C94627" w:rsidRPr="00C94627" w:rsidRDefault="00C94627" w:rsidP="00C94627">
      <w:pPr>
        <w:spacing w:after="0" w:line="240" w:lineRule="auto"/>
        <w:rPr>
          <w:rFonts w:ascii="Arial" w:hAnsi="Arial" w:cs="Arial"/>
          <w:b/>
        </w:rPr>
      </w:pPr>
    </w:p>
    <w:p w:rsidR="00C94627" w:rsidRPr="00C94627" w:rsidRDefault="00C94627" w:rsidP="00C94627">
      <w:pPr>
        <w:spacing w:after="0" w:line="240" w:lineRule="auto"/>
        <w:rPr>
          <w:rFonts w:ascii="Arial" w:hAnsi="Arial" w:cs="Arial"/>
          <w:b/>
        </w:rPr>
      </w:pPr>
    </w:p>
    <w:p w:rsidR="00C94627" w:rsidRPr="00C94627" w:rsidRDefault="00C94627" w:rsidP="00C94627">
      <w:pPr>
        <w:spacing w:after="0" w:line="240" w:lineRule="auto"/>
        <w:rPr>
          <w:rFonts w:ascii="Arial" w:hAnsi="Arial" w:cs="Arial"/>
          <w:b/>
        </w:rPr>
      </w:pPr>
    </w:p>
    <w:p w:rsidR="00C94627" w:rsidRPr="00C94627" w:rsidRDefault="00C94627" w:rsidP="00C94627">
      <w:pPr>
        <w:spacing w:after="0" w:line="240" w:lineRule="auto"/>
        <w:rPr>
          <w:rFonts w:ascii="Arial" w:hAnsi="Arial" w:cs="Arial"/>
          <w:b/>
        </w:rPr>
      </w:pPr>
    </w:p>
    <w:p w:rsidR="00C94627" w:rsidRPr="00C94627" w:rsidRDefault="00C94627" w:rsidP="00C94627">
      <w:pPr>
        <w:spacing w:after="0" w:line="240" w:lineRule="auto"/>
        <w:rPr>
          <w:rFonts w:ascii="Arial" w:hAnsi="Arial" w:cs="Arial"/>
          <w:b/>
        </w:rPr>
      </w:pPr>
    </w:p>
    <w:p w:rsidR="00C94627" w:rsidRPr="00C94627" w:rsidRDefault="00C94627" w:rsidP="00C94627">
      <w:pPr>
        <w:spacing w:after="0" w:line="240" w:lineRule="auto"/>
        <w:rPr>
          <w:rFonts w:ascii="Arial" w:hAnsi="Arial" w:cs="Arial"/>
          <w:b/>
        </w:rPr>
      </w:pPr>
    </w:p>
    <w:p w:rsidR="00C94627" w:rsidRPr="00C94627" w:rsidRDefault="00C94627" w:rsidP="00C94627">
      <w:pPr>
        <w:spacing w:after="0" w:line="240" w:lineRule="auto"/>
        <w:rPr>
          <w:rFonts w:ascii="Arial" w:hAnsi="Arial" w:cs="Arial"/>
          <w:b/>
        </w:rPr>
      </w:pPr>
    </w:p>
    <w:p w:rsidR="00C94627" w:rsidRPr="00C94627" w:rsidRDefault="00C94627" w:rsidP="00C94627">
      <w:pPr>
        <w:spacing w:after="0" w:line="240" w:lineRule="auto"/>
        <w:rPr>
          <w:rFonts w:ascii="Arial" w:hAnsi="Arial" w:cs="Arial"/>
          <w:b/>
        </w:rPr>
      </w:pPr>
    </w:p>
    <w:p w:rsidR="00C94627" w:rsidRPr="00C94627" w:rsidRDefault="00C94627" w:rsidP="00C94627">
      <w:pPr>
        <w:spacing w:after="0" w:line="240" w:lineRule="auto"/>
        <w:rPr>
          <w:rFonts w:ascii="Arial" w:hAnsi="Arial" w:cs="Arial"/>
          <w:b/>
        </w:rPr>
      </w:pPr>
    </w:p>
    <w:p w:rsidR="00C94627" w:rsidRPr="00C94627" w:rsidRDefault="00C94627" w:rsidP="00C94627">
      <w:pPr>
        <w:spacing w:after="0" w:line="240" w:lineRule="auto"/>
        <w:rPr>
          <w:rFonts w:ascii="Arial" w:hAnsi="Arial" w:cs="Arial"/>
          <w:b/>
        </w:rPr>
      </w:pPr>
    </w:p>
    <w:p w:rsidR="00C94627" w:rsidRPr="00C94627" w:rsidRDefault="00C94627" w:rsidP="00C94627">
      <w:pPr>
        <w:spacing w:after="0" w:line="240" w:lineRule="auto"/>
        <w:rPr>
          <w:rFonts w:ascii="Arial" w:hAnsi="Arial" w:cs="Arial"/>
          <w:b/>
        </w:rPr>
      </w:pPr>
    </w:p>
    <w:p w:rsidR="00C94627" w:rsidRPr="00C94627" w:rsidRDefault="00C94627" w:rsidP="00C94627">
      <w:pPr>
        <w:spacing w:after="0" w:line="240" w:lineRule="auto"/>
        <w:rPr>
          <w:rFonts w:ascii="Arial" w:hAnsi="Arial" w:cs="Arial"/>
          <w:b/>
        </w:rPr>
      </w:pPr>
    </w:p>
    <w:p w:rsidR="00C94627" w:rsidRPr="00C94627" w:rsidRDefault="00C94627" w:rsidP="00C94627">
      <w:pPr>
        <w:spacing w:after="0" w:line="240" w:lineRule="auto"/>
        <w:rPr>
          <w:rFonts w:ascii="Arial" w:hAnsi="Arial" w:cs="Arial"/>
          <w:b/>
        </w:rPr>
      </w:pPr>
    </w:p>
    <w:p w:rsidR="00C94627" w:rsidRPr="00C94627" w:rsidRDefault="00C94627" w:rsidP="00C94627">
      <w:pPr>
        <w:spacing w:after="0" w:line="240" w:lineRule="auto"/>
        <w:rPr>
          <w:rFonts w:ascii="Arial" w:hAnsi="Arial" w:cs="Arial"/>
          <w:b/>
        </w:rPr>
      </w:pPr>
    </w:p>
    <w:p w:rsidR="00C94627" w:rsidRPr="00C94627" w:rsidRDefault="00C94627" w:rsidP="00C94627">
      <w:pPr>
        <w:spacing w:after="0" w:line="240" w:lineRule="auto"/>
        <w:rPr>
          <w:rFonts w:ascii="Arial" w:hAnsi="Arial" w:cs="Arial"/>
          <w:b/>
        </w:rPr>
      </w:pPr>
    </w:p>
    <w:p w:rsidR="00C94627" w:rsidRPr="00C94627" w:rsidRDefault="00C94627" w:rsidP="00C94627">
      <w:pPr>
        <w:spacing w:after="0" w:line="240" w:lineRule="auto"/>
        <w:rPr>
          <w:rFonts w:ascii="Arial" w:hAnsi="Arial" w:cs="Arial"/>
          <w:b/>
        </w:rPr>
      </w:pPr>
    </w:p>
    <w:p w:rsidR="00C94627" w:rsidRPr="00C94627" w:rsidRDefault="00C94627" w:rsidP="00C94627">
      <w:pPr>
        <w:spacing w:after="0" w:line="240" w:lineRule="auto"/>
        <w:rPr>
          <w:rFonts w:ascii="Arial" w:hAnsi="Arial" w:cs="Arial"/>
          <w:b/>
        </w:rPr>
      </w:pPr>
    </w:p>
    <w:p w:rsidR="00C94627" w:rsidRPr="00C94627" w:rsidRDefault="00C94627" w:rsidP="00C94627">
      <w:pPr>
        <w:spacing w:after="0" w:line="240" w:lineRule="auto"/>
        <w:rPr>
          <w:rFonts w:ascii="Arial" w:hAnsi="Arial" w:cs="Arial"/>
          <w:b/>
        </w:rPr>
      </w:pPr>
    </w:p>
    <w:p w:rsidR="00C94627" w:rsidRPr="00C94627" w:rsidRDefault="00C94627" w:rsidP="00C94627">
      <w:pPr>
        <w:spacing w:after="0" w:line="240" w:lineRule="auto"/>
        <w:rPr>
          <w:rFonts w:ascii="Arial" w:hAnsi="Arial" w:cs="Arial"/>
          <w:b/>
        </w:rPr>
      </w:pPr>
    </w:p>
    <w:p w:rsidR="00C94627" w:rsidRPr="00C94627" w:rsidRDefault="00C94627" w:rsidP="00C94627">
      <w:pPr>
        <w:spacing w:after="0" w:line="240" w:lineRule="auto"/>
        <w:rPr>
          <w:rFonts w:ascii="Arial" w:hAnsi="Arial" w:cs="Arial"/>
          <w:b/>
          <w:color w:val="00A0AF"/>
        </w:rPr>
        <w:sectPr w:rsidR="00C94627" w:rsidRPr="00C94627" w:rsidSect="00703520">
          <w:footerReference w:type="default" r:id="rId14"/>
          <w:pgSz w:w="11900" w:h="16840"/>
          <w:pgMar w:top="1304" w:right="680" w:bottom="0" w:left="680" w:header="0" w:footer="680" w:gutter="0"/>
          <w:cols w:space="708"/>
        </w:sectPr>
      </w:pPr>
    </w:p>
    <w:p w:rsidR="00C94627" w:rsidRDefault="00C94627" w:rsidP="00C94627">
      <w:pPr>
        <w:spacing w:after="0" w:line="240" w:lineRule="auto"/>
        <w:rPr>
          <w:rFonts w:ascii="Arial" w:eastAsia="Cambria" w:hAnsi="Arial" w:cs="Arial"/>
          <w:b/>
          <w:color w:val="76923C"/>
        </w:rPr>
      </w:pPr>
      <w:r w:rsidRPr="00C94627">
        <w:rPr>
          <w:rFonts w:ascii="Arial" w:eastAsia="Cambria" w:hAnsi="Arial" w:cs="Arial"/>
          <w:b/>
          <w:color w:val="76923C"/>
        </w:rPr>
        <w:lastRenderedPageBreak/>
        <w:t>Introduction</w:t>
      </w:r>
    </w:p>
    <w:p w:rsidR="00973D3E" w:rsidRPr="00C94627" w:rsidRDefault="00973D3E" w:rsidP="00C94627">
      <w:pPr>
        <w:spacing w:after="0" w:line="240" w:lineRule="auto"/>
        <w:rPr>
          <w:rFonts w:ascii="Arial" w:eastAsia="Cambria" w:hAnsi="Arial" w:cs="Arial"/>
          <w:b/>
          <w:color w:val="76923C"/>
        </w:rPr>
      </w:pPr>
    </w:p>
    <w:p w:rsidR="00C94627" w:rsidRDefault="00C94627" w:rsidP="00A31D01">
      <w:pPr>
        <w:spacing w:before="120" w:after="0" w:line="240" w:lineRule="auto"/>
        <w:jc w:val="both"/>
        <w:rPr>
          <w:rFonts w:ascii="Arial" w:eastAsia="Times New Roman" w:hAnsi="Arial" w:cs="Arial"/>
          <w:lang w:eastAsia="en-AU"/>
        </w:rPr>
      </w:pPr>
      <w:r w:rsidRPr="00C94627">
        <w:rPr>
          <w:rFonts w:ascii="Arial" w:eastAsia="Times New Roman" w:hAnsi="Arial" w:cs="Arial"/>
          <w:lang w:eastAsia="en-AU"/>
        </w:rPr>
        <w:t xml:space="preserve">Hobsons Bay City Council (the Council) </w:t>
      </w:r>
      <w:r w:rsidR="002E21B8">
        <w:rPr>
          <w:rFonts w:ascii="Arial" w:eastAsia="Times New Roman" w:hAnsi="Arial" w:cs="Arial"/>
          <w:lang w:eastAsia="en-AU"/>
        </w:rPr>
        <w:t>we</w:t>
      </w:r>
      <w:r w:rsidR="0047634A">
        <w:rPr>
          <w:rFonts w:ascii="Arial" w:eastAsia="Times New Roman" w:hAnsi="Arial" w:cs="Arial"/>
          <w:lang w:eastAsia="en-AU"/>
        </w:rPr>
        <w:t>l</w:t>
      </w:r>
      <w:r w:rsidR="002E21B8">
        <w:rPr>
          <w:rFonts w:ascii="Arial" w:eastAsia="Times New Roman" w:hAnsi="Arial" w:cs="Arial"/>
          <w:lang w:eastAsia="en-AU"/>
        </w:rPr>
        <w:t>comes this Senate I</w:t>
      </w:r>
      <w:r>
        <w:rPr>
          <w:rFonts w:ascii="Arial" w:eastAsia="Times New Roman" w:hAnsi="Arial" w:cs="Arial"/>
          <w:lang w:eastAsia="en-AU"/>
        </w:rPr>
        <w:t>nquiry into Affordable Housing</w:t>
      </w:r>
      <w:r w:rsidR="008950A6">
        <w:rPr>
          <w:rFonts w:ascii="Arial" w:eastAsia="Times New Roman" w:hAnsi="Arial" w:cs="Arial"/>
          <w:lang w:eastAsia="en-AU"/>
        </w:rPr>
        <w:t xml:space="preserve">. </w:t>
      </w:r>
      <w:r w:rsidRPr="00C94627">
        <w:rPr>
          <w:rFonts w:ascii="Arial" w:eastAsia="Times New Roman" w:hAnsi="Arial" w:cs="Arial"/>
          <w:lang w:eastAsia="en-AU"/>
        </w:rPr>
        <w:t xml:space="preserve">This is a </w:t>
      </w:r>
      <w:r w:rsidR="002E21B8">
        <w:rPr>
          <w:rFonts w:ascii="Arial" w:eastAsia="Times New Roman" w:hAnsi="Arial" w:cs="Arial"/>
          <w:lang w:eastAsia="en-AU"/>
        </w:rPr>
        <w:t>po</w:t>
      </w:r>
      <w:r w:rsidR="0047634A">
        <w:rPr>
          <w:rFonts w:ascii="Arial" w:eastAsia="Times New Roman" w:hAnsi="Arial" w:cs="Arial"/>
          <w:lang w:eastAsia="en-AU"/>
        </w:rPr>
        <w:t>s</w:t>
      </w:r>
      <w:r w:rsidR="002E21B8">
        <w:rPr>
          <w:rFonts w:ascii="Arial" w:eastAsia="Times New Roman" w:hAnsi="Arial" w:cs="Arial"/>
          <w:lang w:eastAsia="en-AU"/>
        </w:rPr>
        <w:t>itive</w:t>
      </w:r>
      <w:r w:rsidR="002E21B8" w:rsidRPr="00C94627">
        <w:rPr>
          <w:rFonts w:ascii="Arial" w:eastAsia="Times New Roman" w:hAnsi="Arial" w:cs="Arial"/>
          <w:lang w:eastAsia="en-AU"/>
        </w:rPr>
        <w:t xml:space="preserve"> </w:t>
      </w:r>
      <w:r w:rsidRPr="00C94627">
        <w:rPr>
          <w:rFonts w:ascii="Arial" w:eastAsia="Times New Roman" w:hAnsi="Arial" w:cs="Arial"/>
          <w:lang w:eastAsia="en-AU"/>
        </w:rPr>
        <w:t>step in ensuring that</w:t>
      </w:r>
      <w:r w:rsidR="008950A6">
        <w:rPr>
          <w:rFonts w:ascii="Arial" w:eastAsia="Times New Roman" w:hAnsi="Arial" w:cs="Arial"/>
          <w:lang w:eastAsia="en-AU"/>
        </w:rPr>
        <w:t xml:space="preserve"> </w:t>
      </w:r>
      <w:r w:rsidR="002E21B8">
        <w:rPr>
          <w:rFonts w:ascii="Arial" w:eastAsia="Times New Roman" w:hAnsi="Arial" w:cs="Arial"/>
          <w:lang w:eastAsia="en-AU"/>
        </w:rPr>
        <w:t xml:space="preserve">all </w:t>
      </w:r>
      <w:r w:rsidR="008950A6">
        <w:rPr>
          <w:rFonts w:ascii="Arial" w:eastAsia="Times New Roman" w:hAnsi="Arial" w:cs="Arial"/>
          <w:lang w:eastAsia="en-AU"/>
        </w:rPr>
        <w:t>Australia</w:t>
      </w:r>
      <w:r w:rsidR="002E21B8">
        <w:rPr>
          <w:rFonts w:ascii="Arial" w:eastAsia="Times New Roman" w:hAnsi="Arial" w:cs="Arial"/>
          <w:lang w:eastAsia="en-AU"/>
        </w:rPr>
        <w:t>ns have</w:t>
      </w:r>
      <w:r w:rsidR="008950A6">
        <w:rPr>
          <w:rFonts w:ascii="Arial" w:eastAsia="Times New Roman" w:hAnsi="Arial" w:cs="Arial"/>
          <w:lang w:eastAsia="en-AU"/>
        </w:rPr>
        <w:t xml:space="preserve"> </w:t>
      </w:r>
      <w:r w:rsidR="002E21B8">
        <w:rPr>
          <w:rFonts w:ascii="Arial" w:eastAsia="Times New Roman" w:hAnsi="Arial" w:cs="Arial"/>
          <w:lang w:eastAsia="en-AU"/>
        </w:rPr>
        <w:t>access to a</w:t>
      </w:r>
      <w:r w:rsidR="008950A6">
        <w:rPr>
          <w:rFonts w:ascii="Arial" w:eastAsia="Times New Roman" w:hAnsi="Arial" w:cs="Arial"/>
          <w:lang w:eastAsia="en-AU"/>
        </w:rPr>
        <w:t xml:space="preserve"> sustainable </w:t>
      </w:r>
      <w:r w:rsidR="002E21B8">
        <w:rPr>
          <w:rFonts w:ascii="Arial" w:eastAsia="Times New Roman" w:hAnsi="Arial" w:cs="Arial"/>
          <w:lang w:eastAsia="en-AU"/>
        </w:rPr>
        <w:t xml:space="preserve">supply of </w:t>
      </w:r>
      <w:r w:rsidR="008950A6">
        <w:rPr>
          <w:rFonts w:ascii="Arial" w:eastAsia="Times New Roman" w:hAnsi="Arial" w:cs="Arial"/>
          <w:lang w:eastAsia="en-AU"/>
        </w:rPr>
        <w:t>affordable housing</w:t>
      </w:r>
      <w:r w:rsidR="00A31D01">
        <w:rPr>
          <w:rFonts w:ascii="Arial" w:eastAsia="Times New Roman" w:hAnsi="Arial" w:cs="Arial"/>
          <w:lang w:eastAsia="en-AU"/>
        </w:rPr>
        <w:t>;</w:t>
      </w:r>
      <w:r w:rsidR="00A31D01" w:rsidRPr="00A31D01">
        <w:rPr>
          <w:rFonts w:ascii="Arial" w:eastAsia="Times New Roman" w:hAnsi="Arial" w:cs="Arial"/>
          <w:lang w:eastAsia="en-AU"/>
        </w:rPr>
        <w:t xml:space="preserve"> </w:t>
      </w:r>
      <w:r w:rsidR="00A31D01">
        <w:rPr>
          <w:rFonts w:ascii="Arial" w:eastAsia="Times New Roman" w:hAnsi="Arial" w:cs="Arial"/>
          <w:lang w:eastAsia="en-AU"/>
        </w:rPr>
        <w:t>housing that is not only affordable for those with moderate and middle incomes but with particular emphasis on low income households</w:t>
      </w:r>
      <w:r w:rsidR="008950A6">
        <w:rPr>
          <w:rFonts w:ascii="Arial" w:eastAsia="Times New Roman" w:hAnsi="Arial" w:cs="Arial"/>
          <w:lang w:eastAsia="en-AU"/>
        </w:rPr>
        <w:t>.</w:t>
      </w:r>
      <w:r w:rsidRPr="00C94627">
        <w:rPr>
          <w:rFonts w:ascii="Arial" w:eastAsia="Times New Roman" w:hAnsi="Arial" w:cs="Arial"/>
          <w:lang w:eastAsia="en-AU"/>
        </w:rPr>
        <w:t xml:space="preserve"> </w:t>
      </w:r>
      <w:r w:rsidR="00745853">
        <w:rPr>
          <w:rFonts w:ascii="Arial" w:eastAsia="Times New Roman" w:hAnsi="Arial" w:cs="Arial"/>
          <w:lang w:eastAsia="en-AU"/>
        </w:rPr>
        <w:t xml:space="preserve">The Council looks forward to the </w:t>
      </w:r>
      <w:r w:rsidR="002E21B8">
        <w:rPr>
          <w:rFonts w:ascii="Arial" w:eastAsia="Times New Roman" w:hAnsi="Arial" w:cs="Arial"/>
          <w:lang w:eastAsia="en-AU"/>
        </w:rPr>
        <w:t xml:space="preserve">release of the </w:t>
      </w:r>
      <w:r w:rsidR="00745853">
        <w:rPr>
          <w:rFonts w:ascii="Arial" w:eastAsia="Times New Roman" w:hAnsi="Arial" w:cs="Arial"/>
          <w:lang w:eastAsia="en-AU"/>
        </w:rPr>
        <w:t>outcomes of th</w:t>
      </w:r>
      <w:r w:rsidR="0047634A">
        <w:rPr>
          <w:rFonts w:ascii="Arial" w:eastAsia="Times New Roman" w:hAnsi="Arial" w:cs="Arial"/>
          <w:lang w:eastAsia="en-AU"/>
        </w:rPr>
        <w:t>e</w:t>
      </w:r>
      <w:r w:rsidR="00745853">
        <w:rPr>
          <w:rFonts w:ascii="Arial" w:eastAsia="Times New Roman" w:hAnsi="Arial" w:cs="Arial"/>
          <w:lang w:eastAsia="en-AU"/>
        </w:rPr>
        <w:t xml:space="preserve"> inquiry and </w:t>
      </w:r>
      <w:r w:rsidR="00C63FD4">
        <w:rPr>
          <w:rFonts w:ascii="Arial" w:eastAsia="Times New Roman" w:hAnsi="Arial" w:cs="Arial"/>
          <w:lang w:eastAsia="en-AU"/>
        </w:rPr>
        <w:t>the setting of an agenda which fosters strong partnership</w:t>
      </w:r>
      <w:r w:rsidR="00A31D01">
        <w:rPr>
          <w:rFonts w:ascii="Arial" w:eastAsia="Times New Roman" w:hAnsi="Arial" w:cs="Arial"/>
          <w:lang w:eastAsia="en-AU"/>
        </w:rPr>
        <w:t>s</w:t>
      </w:r>
      <w:r w:rsidR="00C63FD4">
        <w:rPr>
          <w:rFonts w:ascii="Arial" w:eastAsia="Times New Roman" w:hAnsi="Arial" w:cs="Arial"/>
          <w:lang w:eastAsia="en-AU"/>
        </w:rPr>
        <w:t xml:space="preserve"> between key stakeholders, identifies their roles and maps out a pathway for securing and expanding the </w:t>
      </w:r>
      <w:r w:rsidR="00A31D01">
        <w:rPr>
          <w:rFonts w:ascii="Arial" w:eastAsia="Times New Roman" w:hAnsi="Arial" w:cs="Arial"/>
          <w:lang w:eastAsia="en-AU"/>
        </w:rPr>
        <w:t xml:space="preserve">national </w:t>
      </w:r>
      <w:r w:rsidR="00C63FD4">
        <w:rPr>
          <w:rFonts w:ascii="Arial" w:eastAsia="Times New Roman" w:hAnsi="Arial" w:cs="Arial"/>
          <w:lang w:eastAsia="en-AU"/>
        </w:rPr>
        <w:t>supply of affordable housing</w:t>
      </w:r>
      <w:r w:rsidR="00A31D01">
        <w:rPr>
          <w:rFonts w:ascii="Arial" w:eastAsia="Times New Roman" w:hAnsi="Arial" w:cs="Arial"/>
          <w:lang w:eastAsia="en-AU"/>
        </w:rPr>
        <w:t>.</w:t>
      </w:r>
      <w:r w:rsidR="00C63FD4">
        <w:rPr>
          <w:rFonts w:ascii="Arial" w:eastAsia="Times New Roman" w:hAnsi="Arial" w:cs="Arial"/>
          <w:lang w:eastAsia="en-AU"/>
        </w:rPr>
        <w:t xml:space="preserve"> </w:t>
      </w:r>
    </w:p>
    <w:p w:rsidR="00973D3E" w:rsidRDefault="00973D3E" w:rsidP="00A31D01">
      <w:pPr>
        <w:spacing w:before="120" w:after="0" w:line="240" w:lineRule="auto"/>
        <w:jc w:val="both"/>
        <w:rPr>
          <w:rFonts w:ascii="Arial" w:eastAsia="Times New Roman" w:hAnsi="Arial" w:cs="Arial"/>
          <w:lang w:eastAsia="en-AU"/>
        </w:rPr>
      </w:pPr>
    </w:p>
    <w:p w:rsidR="00973D3E" w:rsidRPr="00973D3E" w:rsidRDefault="00973D3E" w:rsidP="00FE1E8D">
      <w:pPr>
        <w:spacing w:after="0" w:line="240" w:lineRule="auto"/>
        <w:jc w:val="both"/>
        <w:rPr>
          <w:rFonts w:ascii="Arial" w:hAnsi="Arial" w:cs="Arial"/>
          <w:bCs/>
        </w:rPr>
      </w:pPr>
      <w:r w:rsidRPr="00973D3E">
        <w:rPr>
          <w:rFonts w:ascii="Arial" w:hAnsi="Arial" w:cs="Arial"/>
          <w:bCs/>
        </w:rPr>
        <w:t xml:space="preserve">Hobsons Bay City Council is situated approximately seven to 20 kilometres south west of the Melbourne Central Business District (CBD), covering an area of 66 square kilometres. The municipality has a population of 87 360 people which is forecast to increase by 17 per cent (14 864) by 2031. </w:t>
      </w:r>
    </w:p>
    <w:p w:rsidR="00C94627" w:rsidRDefault="00C94627" w:rsidP="00C94627">
      <w:pPr>
        <w:spacing w:after="0" w:line="240" w:lineRule="auto"/>
        <w:jc w:val="both"/>
        <w:rPr>
          <w:rFonts w:ascii="Arial" w:eastAsia="Times New Roman" w:hAnsi="Arial" w:cs="Arial"/>
          <w:b/>
          <w:lang w:eastAsia="en-AU"/>
        </w:rPr>
      </w:pPr>
    </w:p>
    <w:p w:rsidR="005A44EE" w:rsidRPr="00C94627" w:rsidRDefault="005A44EE" w:rsidP="00C94627">
      <w:pPr>
        <w:spacing w:after="0" w:line="240" w:lineRule="auto"/>
        <w:jc w:val="both"/>
        <w:rPr>
          <w:rFonts w:ascii="Arial" w:hAnsi="Arial" w:cs="Arial"/>
        </w:rPr>
      </w:pPr>
      <w:r w:rsidRPr="00C94627">
        <w:rPr>
          <w:rFonts w:ascii="Arial" w:eastAsia="Times New Roman" w:hAnsi="Arial" w:cs="Arial"/>
          <w:lang w:eastAsia="en-AU"/>
        </w:rPr>
        <w:t>The provision of affordable housing is on</w:t>
      </w:r>
      <w:r w:rsidR="009C5FB8" w:rsidRPr="00C94627">
        <w:rPr>
          <w:rFonts w:ascii="Arial" w:eastAsia="Times New Roman" w:hAnsi="Arial" w:cs="Arial"/>
          <w:lang w:eastAsia="en-AU"/>
        </w:rPr>
        <w:t xml:space="preserve">e of the key challenges facing </w:t>
      </w:r>
      <w:r w:rsidR="008950A6">
        <w:rPr>
          <w:rFonts w:ascii="Arial" w:eastAsia="Times New Roman" w:hAnsi="Arial" w:cs="Arial"/>
          <w:lang w:eastAsia="en-AU"/>
        </w:rPr>
        <w:t xml:space="preserve">all levels of </w:t>
      </w:r>
      <w:r w:rsidR="009C5FB8" w:rsidRPr="00C94627">
        <w:rPr>
          <w:rFonts w:ascii="Arial" w:eastAsia="Times New Roman" w:hAnsi="Arial" w:cs="Arial"/>
          <w:lang w:eastAsia="en-AU"/>
        </w:rPr>
        <w:t>government</w:t>
      </w:r>
      <w:r w:rsidRPr="00C94627">
        <w:rPr>
          <w:rFonts w:ascii="Arial" w:eastAsia="Times New Roman" w:hAnsi="Arial" w:cs="Arial"/>
          <w:lang w:eastAsia="en-AU"/>
        </w:rPr>
        <w:t xml:space="preserve">.  </w:t>
      </w:r>
      <w:r w:rsidR="004D17D4" w:rsidRPr="00C94627">
        <w:rPr>
          <w:rFonts w:ascii="Arial" w:eastAsia="Times New Roman" w:hAnsi="Arial" w:cs="Arial"/>
          <w:lang w:eastAsia="en-AU"/>
        </w:rPr>
        <w:t>Like other parts of Melbourne, h</w:t>
      </w:r>
      <w:r w:rsidRPr="00C94627">
        <w:rPr>
          <w:rFonts w:ascii="Arial" w:hAnsi="Arial" w:cs="Arial"/>
        </w:rPr>
        <w:t xml:space="preserve">ousing costs in </w:t>
      </w:r>
      <w:r w:rsidR="004D17D4" w:rsidRPr="00C94627">
        <w:rPr>
          <w:rFonts w:ascii="Arial" w:hAnsi="Arial" w:cs="Arial"/>
        </w:rPr>
        <w:t>the west</w:t>
      </w:r>
      <w:r w:rsidR="009C5FB8" w:rsidRPr="00C94627">
        <w:rPr>
          <w:rFonts w:ascii="Arial" w:hAnsi="Arial" w:cs="Arial"/>
        </w:rPr>
        <w:t>ern suburbs that includ</w:t>
      </w:r>
      <w:r w:rsidR="009A5210">
        <w:rPr>
          <w:rFonts w:ascii="Arial" w:hAnsi="Arial" w:cs="Arial"/>
        </w:rPr>
        <w:t>e</w:t>
      </w:r>
      <w:r w:rsidR="009C5FB8" w:rsidRPr="00C94627">
        <w:rPr>
          <w:rFonts w:ascii="Arial" w:hAnsi="Arial" w:cs="Arial"/>
        </w:rPr>
        <w:t xml:space="preserve"> Hobsons Bay, </w:t>
      </w:r>
      <w:r w:rsidRPr="00C94627">
        <w:rPr>
          <w:rFonts w:ascii="Arial" w:hAnsi="Arial" w:cs="Arial"/>
        </w:rPr>
        <w:t>have increased significantly over recent times. Hobsons Bay</w:t>
      </w:r>
      <w:r w:rsidR="004D17D4" w:rsidRPr="00C94627">
        <w:rPr>
          <w:rFonts w:ascii="Arial" w:hAnsi="Arial" w:cs="Arial"/>
        </w:rPr>
        <w:t xml:space="preserve"> is one of </w:t>
      </w:r>
      <w:r w:rsidR="009C5FB8" w:rsidRPr="00C94627">
        <w:rPr>
          <w:rFonts w:ascii="Arial" w:hAnsi="Arial" w:cs="Arial"/>
        </w:rPr>
        <w:t xml:space="preserve">the </w:t>
      </w:r>
      <w:r w:rsidR="004D17D4" w:rsidRPr="00C94627">
        <w:rPr>
          <w:rFonts w:ascii="Arial" w:hAnsi="Arial" w:cs="Arial"/>
        </w:rPr>
        <w:t xml:space="preserve">five </w:t>
      </w:r>
      <w:r w:rsidR="009C5FB8" w:rsidRPr="00C94627">
        <w:rPr>
          <w:rFonts w:ascii="Arial" w:hAnsi="Arial" w:cs="Arial"/>
        </w:rPr>
        <w:t>municipalitie</w:t>
      </w:r>
      <w:r w:rsidR="004D17D4" w:rsidRPr="00C94627">
        <w:rPr>
          <w:rFonts w:ascii="Arial" w:hAnsi="Arial" w:cs="Arial"/>
        </w:rPr>
        <w:t xml:space="preserve">s </w:t>
      </w:r>
      <w:r w:rsidR="009C5FB8" w:rsidRPr="00C94627">
        <w:rPr>
          <w:rFonts w:ascii="Arial" w:hAnsi="Arial" w:cs="Arial"/>
        </w:rPr>
        <w:t xml:space="preserve">that make up western metropolitan </w:t>
      </w:r>
      <w:r w:rsidR="004D17D4" w:rsidRPr="00C94627">
        <w:rPr>
          <w:rFonts w:ascii="Arial" w:hAnsi="Arial" w:cs="Arial"/>
        </w:rPr>
        <w:t>region</w:t>
      </w:r>
      <w:r w:rsidR="009A5210">
        <w:rPr>
          <w:rFonts w:ascii="Arial" w:hAnsi="Arial" w:cs="Arial"/>
        </w:rPr>
        <w:t>. It has</w:t>
      </w:r>
      <w:r w:rsidRPr="00C94627">
        <w:rPr>
          <w:rFonts w:ascii="Arial" w:hAnsi="Arial" w:cs="Arial"/>
        </w:rPr>
        <w:t xml:space="preserve"> traditionally been considered a </w:t>
      </w:r>
      <w:r w:rsidR="009C5FB8" w:rsidRPr="00C94627">
        <w:rPr>
          <w:rFonts w:ascii="Arial" w:hAnsi="Arial" w:cs="Arial"/>
        </w:rPr>
        <w:t>relatively affordable location</w:t>
      </w:r>
      <w:r w:rsidR="009A5210">
        <w:rPr>
          <w:rFonts w:ascii="Arial" w:hAnsi="Arial" w:cs="Arial"/>
        </w:rPr>
        <w:t xml:space="preserve"> and is a key </w:t>
      </w:r>
      <w:r w:rsidR="00C86808">
        <w:rPr>
          <w:rFonts w:ascii="Arial" w:hAnsi="Arial" w:cs="Arial"/>
        </w:rPr>
        <w:t xml:space="preserve">industrial precinct for Melbourne and home to many </w:t>
      </w:r>
      <w:r w:rsidR="00DB1F1D">
        <w:rPr>
          <w:rFonts w:ascii="Arial" w:hAnsi="Arial" w:cs="Arial"/>
        </w:rPr>
        <w:t xml:space="preserve">low income </w:t>
      </w:r>
      <w:r w:rsidR="00C86808">
        <w:rPr>
          <w:rFonts w:ascii="Arial" w:hAnsi="Arial" w:cs="Arial"/>
        </w:rPr>
        <w:t>workers</w:t>
      </w:r>
      <w:r w:rsidR="009C5FB8" w:rsidRPr="00C94627">
        <w:rPr>
          <w:rFonts w:ascii="Arial" w:hAnsi="Arial" w:cs="Arial"/>
        </w:rPr>
        <w:t xml:space="preserve">. </w:t>
      </w:r>
      <w:r w:rsidR="00C86808">
        <w:rPr>
          <w:rFonts w:ascii="Arial" w:hAnsi="Arial" w:cs="Arial"/>
        </w:rPr>
        <w:t>However due to its</w:t>
      </w:r>
      <w:r w:rsidR="009C5FB8" w:rsidRPr="00C94627">
        <w:rPr>
          <w:rFonts w:ascii="Arial" w:hAnsi="Arial" w:cs="Arial"/>
        </w:rPr>
        <w:t xml:space="preserve"> good</w:t>
      </w:r>
      <w:r w:rsidRPr="00C94627">
        <w:rPr>
          <w:rFonts w:ascii="Arial" w:hAnsi="Arial" w:cs="Arial"/>
        </w:rPr>
        <w:t xml:space="preserve"> proximity to the Melbourne central business district and </w:t>
      </w:r>
      <w:r w:rsidR="004D17D4" w:rsidRPr="00C94627">
        <w:rPr>
          <w:rFonts w:ascii="Arial" w:hAnsi="Arial" w:cs="Arial"/>
        </w:rPr>
        <w:t>local attributes such as beaches and</w:t>
      </w:r>
      <w:r w:rsidRPr="00C94627">
        <w:rPr>
          <w:rFonts w:ascii="Arial" w:hAnsi="Arial" w:cs="Arial"/>
        </w:rPr>
        <w:t xml:space="preserve"> coast</w:t>
      </w:r>
      <w:r w:rsidR="004D17D4" w:rsidRPr="00C94627">
        <w:rPr>
          <w:rFonts w:ascii="Arial" w:hAnsi="Arial" w:cs="Arial"/>
        </w:rPr>
        <w:t>line</w:t>
      </w:r>
      <w:r w:rsidR="00C86808">
        <w:rPr>
          <w:rFonts w:ascii="Arial" w:hAnsi="Arial" w:cs="Arial"/>
        </w:rPr>
        <w:t xml:space="preserve"> there have been large </w:t>
      </w:r>
      <w:r w:rsidRPr="00C94627">
        <w:rPr>
          <w:rFonts w:ascii="Arial" w:hAnsi="Arial" w:cs="Arial"/>
        </w:rPr>
        <w:t>spike</w:t>
      </w:r>
      <w:r w:rsidR="00C86808">
        <w:rPr>
          <w:rFonts w:ascii="Arial" w:hAnsi="Arial" w:cs="Arial"/>
        </w:rPr>
        <w:t>s</w:t>
      </w:r>
      <w:r w:rsidRPr="00C94627">
        <w:rPr>
          <w:rFonts w:ascii="Arial" w:hAnsi="Arial" w:cs="Arial"/>
        </w:rPr>
        <w:t xml:space="preserve"> in </w:t>
      </w:r>
      <w:r w:rsidR="009A5210">
        <w:rPr>
          <w:rFonts w:ascii="Arial" w:hAnsi="Arial" w:cs="Arial"/>
        </w:rPr>
        <w:t>house prices.</w:t>
      </w:r>
      <w:r w:rsidR="004D17D4" w:rsidRPr="00C94627">
        <w:rPr>
          <w:rFonts w:ascii="Arial" w:hAnsi="Arial" w:cs="Arial"/>
        </w:rPr>
        <w:t xml:space="preserve"> </w:t>
      </w:r>
    </w:p>
    <w:p w:rsidR="00FD2479" w:rsidRPr="00C94627" w:rsidRDefault="00FD2479" w:rsidP="00C94627">
      <w:pPr>
        <w:spacing w:after="0" w:line="240" w:lineRule="auto"/>
        <w:jc w:val="both"/>
        <w:rPr>
          <w:rFonts w:ascii="Arial" w:hAnsi="Arial" w:cs="Arial"/>
        </w:rPr>
      </w:pPr>
    </w:p>
    <w:p w:rsidR="00A60133" w:rsidRPr="00C94627" w:rsidRDefault="002C2B4A" w:rsidP="00C94627">
      <w:pPr>
        <w:spacing w:after="0" w:line="240" w:lineRule="auto"/>
        <w:jc w:val="both"/>
        <w:rPr>
          <w:rFonts w:ascii="Arial" w:hAnsi="Arial" w:cs="Arial"/>
        </w:rPr>
      </w:pPr>
      <w:r w:rsidRPr="00C94627">
        <w:rPr>
          <w:rFonts w:ascii="Arial" w:hAnsi="Arial" w:cs="Arial"/>
        </w:rPr>
        <w:t xml:space="preserve">Parts of Hobsons Bay </w:t>
      </w:r>
      <w:r w:rsidR="004D17D4" w:rsidRPr="00C94627">
        <w:rPr>
          <w:rFonts w:ascii="Arial" w:hAnsi="Arial" w:cs="Arial"/>
        </w:rPr>
        <w:t xml:space="preserve">are now </w:t>
      </w:r>
      <w:r w:rsidRPr="00C94627">
        <w:rPr>
          <w:rFonts w:ascii="Arial" w:hAnsi="Arial" w:cs="Arial"/>
        </w:rPr>
        <w:t>gentrified</w:t>
      </w:r>
      <w:r w:rsidR="00C86808">
        <w:rPr>
          <w:rFonts w:ascii="Arial" w:hAnsi="Arial" w:cs="Arial"/>
        </w:rPr>
        <w:t>,</w:t>
      </w:r>
      <w:r w:rsidRPr="00C94627">
        <w:rPr>
          <w:rFonts w:ascii="Arial" w:hAnsi="Arial" w:cs="Arial"/>
        </w:rPr>
        <w:t xml:space="preserve"> </w:t>
      </w:r>
      <w:r w:rsidR="00343645" w:rsidRPr="00C94627">
        <w:rPr>
          <w:rFonts w:ascii="Arial" w:hAnsi="Arial" w:cs="Arial"/>
        </w:rPr>
        <w:t xml:space="preserve">or are undergoing gentrification </w:t>
      </w:r>
      <w:r w:rsidRPr="00C94627">
        <w:rPr>
          <w:rFonts w:ascii="Arial" w:hAnsi="Arial" w:cs="Arial"/>
        </w:rPr>
        <w:t>and</w:t>
      </w:r>
      <w:r w:rsidR="004D17D4" w:rsidRPr="00C94627">
        <w:rPr>
          <w:rFonts w:ascii="Arial" w:hAnsi="Arial" w:cs="Arial"/>
        </w:rPr>
        <w:t>,</w:t>
      </w:r>
      <w:r w:rsidRPr="00C94627">
        <w:rPr>
          <w:rFonts w:ascii="Arial" w:hAnsi="Arial" w:cs="Arial"/>
        </w:rPr>
        <w:t xml:space="preserve"> as a result</w:t>
      </w:r>
      <w:r w:rsidR="004D17D4" w:rsidRPr="00C94627">
        <w:rPr>
          <w:rFonts w:ascii="Arial" w:hAnsi="Arial" w:cs="Arial"/>
        </w:rPr>
        <w:t>,</w:t>
      </w:r>
      <w:r w:rsidRPr="00C94627">
        <w:rPr>
          <w:rFonts w:ascii="Arial" w:hAnsi="Arial" w:cs="Arial"/>
        </w:rPr>
        <w:t xml:space="preserve"> areas which used to provide affordable housing are out of the reach of moderate or low income households. This is typified by suburbs such as Williamstown</w:t>
      </w:r>
      <w:r w:rsidR="004D17D4" w:rsidRPr="00C94627">
        <w:rPr>
          <w:rFonts w:ascii="Arial" w:hAnsi="Arial" w:cs="Arial"/>
        </w:rPr>
        <w:t xml:space="preserve"> in particular</w:t>
      </w:r>
      <w:r w:rsidRPr="00C94627">
        <w:rPr>
          <w:rFonts w:ascii="Arial" w:hAnsi="Arial" w:cs="Arial"/>
        </w:rPr>
        <w:t>, but also Newport and Spotswood which used to provide housing for e</w:t>
      </w:r>
      <w:r w:rsidR="004D17D4" w:rsidRPr="00C94627">
        <w:rPr>
          <w:rFonts w:ascii="Arial" w:hAnsi="Arial" w:cs="Arial"/>
        </w:rPr>
        <w:t>mployees at</w:t>
      </w:r>
      <w:r w:rsidRPr="00C94627">
        <w:rPr>
          <w:rFonts w:ascii="Arial" w:hAnsi="Arial" w:cs="Arial"/>
        </w:rPr>
        <w:t xml:space="preserve"> the port, rail yards and local industries. T</w:t>
      </w:r>
      <w:r w:rsidR="004D17D4" w:rsidRPr="00C94627">
        <w:rPr>
          <w:rFonts w:ascii="Arial" w:hAnsi="Arial" w:cs="Arial"/>
        </w:rPr>
        <w:t>oday, t</w:t>
      </w:r>
      <w:r w:rsidRPr="00C94627">
        <w:rPr>
          <w:rFonts w:ascii="Arial" w:hAnsi="Arial" w:cs="Arial"/>
        </w:rPr>
        <w:t>he median house price in Williamstown is $1 million, an increase of 16.6 per cent ove</w:t>
      </w:r>
      <w:r w:rsidR="004D17D4" w:rsidRPr="00C94627">
        <w:rPr>
          <w:rFonts w:ascii="Arial" w:hAnsi="Arial" w:cs="Arial"/>
        </w:rPr>
        <w:t>r the 12 month to December 2013, with the</w:t>
      </w:r>
      <w:r w:rsidRPr="00C94627">
        <w:rPr>
          <w:rFonts w:ascii="Arial" w:hAnsi="Arial" w:cs="Arial"/>
        </w:rPr>
        <w:t xml:space="preserve"> Newport</w:t>
      </w:r>
      <w:r w:rsidR="00C8445D" w:rsidRPr="00C94627">
        <w:rPr>
          <w:rFonts w:ascii="Arial" w:hAnsi="Arial" w:cs="Arial"/>
        </w:rPr>
        <w:t xml:space="preserve"> </w:t>
      </w:r>
      <w:r w:rsidR="004D17D4" w:rsidRPr="00C94627">
        <w:rPr>
          <w:rFonts w:ascii="Arial" w:hAnsi="Arial" w:cs="Arial"/>
        </w:rPr>
        <w:t>median being $742,000, an increase of 20.1 per cen</w:t>
      </w:r>
      <w:r w:rsidR="009C5FB8" w:rsidRPr="00C94627">
        <w:rPr>
          <w:rFonts w:ascii="Arial" w:hAnsi="Arial" w:cs="Arial"/>
        </w:rPr>
        <w:t>t</w:t>
      </w:r>
      <w:r w:rsidR="004D17D4" w:rsidRPr="00C94627">
        <w:rPr>
          <w:rFonts w:ascii="Arial" w:hAnsi="Arial" w:cs="Arial"/>
        </w:rPr>
        <w:t>.</w:t>
      </w:r>
      <w:r w:rsidR="009C5FB8" w:rsidRPr="00C94627">
        <w:rPr>
          <w:rStyle w:val="FootnoteReference"/>
          <w:rFonts w:ascii="Arial" w:hAnsi="Arial" w:cs="Arial"/>
        </w:rPr>
        <w:footnoteReference w:id="1"/>
      </w:r>
    </w:p>
    <w:p w:rsidR="00A60133" w:rsidRPr="00C94627" w:rsidRDefault="00A60133" w:rsidP="00C94627">
      <w:pPr>
        <w:spacing w:after="0" w:line="240" w:lineRule="auto"/>
        <w:jc w:val="both"/>
        <w:rPr>
          <w:rFonts w:ascii="Arial" w:hAnsi="Arial" w:cs="Arial"/>
        </w:rPr>
      </w:pPr>
    </w:p>
    <w:p w:rsidR="00343645" w:rsidRPr="00C94627" w:rsidRDefault="00C8445D" w:rsidP="00C94627">
      <w:pPr>
        <w:spacing w:after="0" w:line="240" w:lineRule="auto"/>
        <w:jc w:val="both"/>
        <w:rPr>
          <w:rFonts w:ascii="Arial" w:hAnsi="Arial" w:cs="Arial"/>
        </w:rPr>
      </w:pPr>
      <w:r w:rsidRPr="00C94627">
        <w:rPr>
          <w:rFonts w:ascii="Arial" w:hAnsi="Arial" w:cs="Arial"/>
        </w:rPr>
        <w:t>The impact of thes</w:t>
      </w:r>
      <w:r w:rsidR="00A60133" w:rsidRPr="00C94627">
        <w:rPr>
          <w:rFonts w:ascii="Arial" w:hAnsi="Arial" w:cs="Arial"/>
        </w:rPr>
        <w:t xml:space="preserve">e increases is </w:t>
      </w:r>
      <w:r w:rsidR="009C5FB8" w:rsidRPr="00C94627">
        <w:rPr>
          <w:rFonts w:ascii="Arial" w:hAnsi="Arial" w:cs="Arial"/>
        </w:rPr>
        <w:t>experienced differently by</w:t>
      </w:r>
      <w:r w:rsidR="00A60133" w:rsidRPr="00C94627">
        <w:rPr>
          <w:rFonts w:ascii="Arial" w:hAnsi="Arial" w:cs="Arial"/>
        </w:rPr>
        <w:t xml:space="preserve"> households</w:t>
      </w:r>
      <w:r w:rsidR="009C5FB8" w:rsidRPr="00C94627">
        <w:rPr>
          <w:rFonts w:ascii="Arial" w:hAnsi="Arial" w:cs="Arial"/>
        </w:rPr>
        <w:t>, depending on their socio-economic status</w:t>
      </w:r>
      <w:r w:rsidR="00A60133" w:rsidRPr="00C94627">
        <w:rPr>
          <w:rFonts w:ascii="Arial" w:hAnsi="Arial" w:cs="Arial"/>
        </w:rPr>
        <w:t xml:space="preserve">. </w:t>
      </w:r>
      <w:r w:rsidR="009C5FB8" w:rsidRPr="00C94627">
        <w:rPr>
          <w:rFonts w:ascii="Arial" w:hAnsi="Arial" w:cs="Arial"/>
        </w:rPr>
        <w:t>Y</w:t>
      </w:r>
      <w:r w:rsidR="00A60133" w:rsidRPr="00C94627">
        <w:rPr>
          <w:rFonts w:ascii="Arial" w:hAnsi="Arial" w:cs="Arial"/>
        </w:rPr>
        <w:t>oung couples</w:t>
      </w:r>
      <w:r w:rsidR="009C5FB8" w:rsidRPr="00C94627">
        <w:rPr>
          <w:rFonts w:ascii="Arial" w:hAnsi="Arial" w:cs="Arial"/>
        </w:rPr>
        <w:t xml:space="preserve"> are</w:t>
      </w:r>
      <w:r w:rsidR="00A60133" w:rsidRPr="00C94627">
        <w:rPr>
          <w:rFonts w:ascii="Arial" w:hAnsi="Arial" w:cs="Arial"/>
        </w:rPr>
        <w:t xml:space="preserve"> </w:t>
      </w:r>
      <w:r w:rsidR="0008587E" w:rsidRPr="00C94627">
        <w:rPr>
          <w:rFonts w:ascii="Arial" w:hAnsi="Arial" w:cs="Arial"/>
        </w:rPr>
        <w:t>trying to save</w:t>
      </w:r>
      <w:r w:rsidR="00A60133" w:rsidRPr="00C94627">
        <w:rPr>
          <w:rFonts w:ascii="Arial" w:hAnsi="Arial" w:cs="Arial"/>
        </w:rPr>
        <w:t xml:space="preserve"> </w:t>
      </w:r>
      <w:r w:rsidR="0008587E" w:rsidRPr="00C94627">
        <w:rPr>
          <w:rFonts w:ascii="Arial" w:hAnsi="Arial" w:cs="Arial"/>
        </w:rPr>
        <w:t>for</w:t>
      </w:r>
      <w:r w:rsidR="00343645" w:rsidRPr="00C94627">
        <w:rPr>
          <w:rFonts w:ascii="Arial" w:hAnsi="Arial" w:cs="Arial"/>
        </w:rPr>
        <w:t xml:space="preserve"> their first home, older residents are asset rich but income poor</w:t>
      </w:r>
      <w:r w:rsidR="009C5FB8" w:rsidRPr="00C94627">
        <w:rPr>
          <w:rFonts w:ascii="Arial" w:hAnsi="Arial" w:cs="Arial"/>
        </w:rPr>
        <w:t xml:space="preserve"> in terms of covering the costs of day to day life</w:t>
      </w:r>
      <w:r w:rsidR="00343645" w:rsidRPr="00C94627">
        <w:rPr>
          <w:rFonts w:ascii="Arial" w:hAnsi="Arial" w:cs="Arial"/>
        </w:rPr>
        <w:t xml:space="preserve">, </w:t>
      </w:r>
      <w:r w:rsidR="00C86808">
        <w:rPr>
          <w:rFonts w:ascii="Arial" w:hAnsi="Arial" w:cs="Arial"/>
        </w:rPr>
        <w:t xml:space="preserve">and </w:t>
      </w:r>
      <w:r w:rsidR="00A60133" w:rsidRPr="00C94627">
        <w:rPr>
          <w:rFonts w:ascii="Arial" w:hAnsi="Arial" w:cs="Arial"/>
        </w:rPr>
        <w:t xml:space="preserve">young people </w:t>
      </w:r>
      <w:r w:rsidR="009C5FB8" w:rsidRPr="00C94627">
        <w:rPr>
          <w:rFonts w:ascii="Arial" w:hAnsi="Arial" w:cs="Arial"/>
        </w:rPr>
        <w:t>having</w:t>
      </w:r>
      <w:r w:rsidR="00A60133" w:rsidRPr="00C94627">
        <w:rPr>
          <w:rFonts w:ascii="Arial" w:hAnsi="Arial" w:cs="Arial"/>
        </w:rPr>
        <w:t xml:space="preserve"> left home</w:t>
      </w:r>
      <w:r w:rsidR="009C5FB8" w:rsidRPr="00C94627">
        <w:rPr>
          <w:rFonts w:ascii="Arial" w:hAnsi="Arial" w:cs="Arial"/>
        </w:rPr>
        <w:t xml:space="preserve"> to live independently</w:t>
      </w:r>
      <w:r w:rsidR="00A60133" w:rsidRPr="00C94627">
        <w:rPr>
          <w:rFonts w:ascii="Arial" w:hAnsi="Arial" w:cs="Arial"/>
        </w:rPr>
        <w:t xml:space="preserve"> have limited finances to spend on housing. </w:t>
      </w:r>
      <w:r w:rsidR="00343645" w:rsidRPr="00C94627">
        <w:rPr>
          <w:rFonts w:ascii="Arial" w:hAnsi="Arial" w:cs="Arial"/>
        </w:rPr>
        <w:t>For many of these</w:t>
      </w:r>
      <w:r w:rsidR="0008587E" w:rsidRPr="00C94627">
        <w:rPr>
          <w:rFonts w:ascii="Arial" w:hAnsi="Arial" w:cs="Arial"/>
        </w:rPr>
        <w:t xml:space="preserve"> groups</w:t>
      </w:r>
      <w:r w:rsidR="00343645" w:rsidRPr="00C94627">
        <w:rPr>
          <w:rFonts w:ascii="Arial" w:hAnsi="Arial" w:cs="Arial"/>
        </w:rPr>
        <w:t xml:space="preserve"> an important part of the </w:t>
      </w:r>
      <w:r w:rsidR="0008587E" w:rsidRPr="00C94627">
        <w:rPr>
          <w:rFonts w:ascii="Arial" w:hAnsi="Arial" w:cs="Arial"/>
        </w:rPr>
        <w:t xml:space="preserve">housing </w:t>
      </w:r>
      <w:r w:rsidR="00343645" w:rsidRPr="00C94627">
        <w:rPr>
          <w:rFonts w:ascii="Arial" w:hAnsi="Arial" w:cs="Arial"/>
        </w:rPr>
        <w:t>solution is diversity</w:t>
      </w:r>
      <w:r w:rsidR="00626B8B" w:rsidRPr="00C94627">
        <w:rPr>
          <w:rFonts w:ascii="Arial" w:hAnsi="Arial" w:cs="Arial"/>
        </w:rPr>
        <w:t xml:space="preserve"> and </w:t>
      </w:r>
      <w:r w:rsidR="0008587E" w:rsidRPr="00C94627">
        <w:rPr>
          <w:rFonts w:ascii="Arial" w:hAnsi="Arial" w:cs="Arial"/>
        </w:rPr>
        <w:t xml:space="preserve">adequate </w:t>
      </w:r>
      <w:r w:rsidR="00626B8B" w:rsidRPr="00C94627">
        <w:rPr>
          <w:rFonts w:ascii="Arial" w:hAnsi="Arial" w:cs="Arial"/>
        </w:rPr>
        <w:t xml:space="preserve">supply – that is </w:t>
      </w:r>
      <w:r w:rsidR="00343645" w:rsidRPr="00C94627">
        <w:rPr>
          <w:rFonts w:ascii="Arial" w:hAnsi="Arial" w:cs="Arial"/>
        </w:rPr>
        <w:t>providing</w:t>
      </w:r>
      <w:r w:rsidR="0008587E" w:rsidRPr="00C94627">
        <w:rPr>
          <w:rFonts w:ascii="Arial" w:hAnsi="Arial" w:cs="Arial"/>
        </w:rPr>
        <w:t>,</w:t>
      </w:r>
      <w:r w:rsidR="00343645" w:rsidRPr="00C94627">
        <w:rPr>
          <w:rFonts w:ascii="Arial" w:hAnsi="Arial" w:cs="Arial"/>
        </w:rPr>
        <w:t xml:space="preserve"> </w:t>
      </w:r>
      <w:r w:rsidR="00626B8B" w:rsidRPr="00C94627">
        <w:rPr>
          <w:rFonts w:ascii="Arial" w:hAnsi="Arial" w:cs="Arial"/>
        </w:rPr>
        <w:t xml:space="preserve">enough housing across </w:t>
      </w:r>
      <w:r w:rsidR="00343645" w:rsidRPr="00C94627">
        <w:rPr>
          <w:rFonts w:ascii="Arial" w:hAnsi="Arial" w:cs="Arial"/>
        </w:rPr>
        <w:t>a range of housing types and price ranges to meet their needs.</w:t>
      </w:r>
    </w:p>
    <w:p w:rsidR="00343645" w:rsidRPr="00C94627" w:rsidRDefault="00343645" w:rsidP="00C94627">
      <w:pPr>
        <w:spacing w:after="0" w:line="240" w:lineRule="auto"/>
        <w:jc w:val="both"/>
        <w:rPr>
          <w:rFonts w:ascii="Arial" w:hAnsi="Arial" w:cs="Arial"/>
        </w:rPr>
      </w:pPr>
    </w:p>
    <w:p w:rsidR="00626B8B" w:rsidRPr="00C94627" w:rsidRDefault="00A60133" w:rsidP="00C94627">
      <w:pPr>
        <w:spacing w:after="0" w:line="240" w:lineRule="auto"/>
        <w:jc w:val="both"/>
        <w:rPr>
          <w:rFonts w:ascii="Arial" w:hAnsi="Arial" w:cs="Arial"/>
        </w:rPr>
      </w:pPr>
      <w:r w:rsidRPr="00C94627">
        <w:rPr>
          <w:rFonts w:ascii="Arial" w:hAnsi="Arial" w:cs="Arial"/>
        </w:rPr>
        <w:t xml:space="preserve">However the search for </w:t>
      </w:r>
      <w:r w:rsidR="0008587E" w:rsidRPr="00C94627">
        <w:rPr>
          <w:rFonts w:ascii="Arial" w:hAnsi="Arial" w:cs="Arial"/>
        </w:rPr>
        <w:t>affordable</w:t>
      </w:r>
      <w:r w:rsidRPr="00C94627">
        <w:rPr>
          <w:rFonts w:ascii="Arial" w:hAnsi="Arial" w:cs="Arial"/>
        </w:rPr>
        <w:t xml:space="preserve"> housing is most </w:t>
      </w:r>
      <w:r w:rsidR="00C86808">
        <w:rPr>
          <w:rFonts w:ascii="Arial" w:hAnsi="Arial" w:cs="Arial"/>
        </w:rPr>
        <w:t>extreme amongst</w:t>
      </w:r>
      <w:r w:rsidRPr="00C94627">
        <w:rPr>
          <w:rFonts w:ascii="Arial" w:hAnsi="Arial" w:cs="Arial"/>
        </w:rPr>
        <w:t xml:space="preserve"> </w:t>
      </w:r>
      <w:r w:rsidR="00C8445D" w:rsidRPr="00C94627">
        <w:rPr>
          <w:rFonts w:ascii="Arial" w:hAnsi="Arial" w:cs="Arial"/>
        </w:rPr>
        <w:t xml:space="preserve">those </w:t>
      </w:r>
      <w:r w:rsidR="00C86808">
        <w:rPr>
          <w:rFonts w:ascii="Arial" w:hAnsi="Arial" w:cs="Arial"/>
        </w:rPr>
        <w:t xml:space="preserve">families and individuals </w:t>
      </w:r>
      <w:r w:rsidR="00626B8B" w:rsidRPr="00C94627">
        <w:rPr>
          <w:rFonts w:ascii="Arial" w:hAnsi="Arial" w:cs="Arial"/>
        </w:rPr>
        <w:t>with</w:t>
      </w:r>
      <w:r w:rsidR="00C8445D" w:rsidRPr="00C94627">
        <w:rPr>
          <w:rFonts w:ascii="Arial" w:hAnsi="Arial" w:cs="Arial"/>
        </w:rPr>
        <w:t xml:space="preserve"> </w:t>
      </w:r>
      <w:r w:rsidR="00343645" w:rsidRPr="00C94627">
        <w:rPr>
          <w:rFonts w:ascii="Arial" w:hAnsi="Arial" w:cs="Arial"/>
        </w:rPr>
        <w:t>very limited</w:t>
      </w:r>
      <w:r w:rsidR="00C8445D" w:rsidRPr="00C94627">
        <w:rPr>
          <w:rFonts w:ascii="Arial" w:hAnsi="Arial" w:cs="Arial"/>
        </w:rPr>
        <w:t xml:space="preserve"> incomes who </w:t>
      </w:r>
      <w:r w:rsidR="0008587E" w:rsidRPr="00C94627">
        <w:rPr>
          <w:rFonts w:ascii="Arial" w:hAnsi="Arial" w:cs="Arial"/>
        </w:rPr>
        <w:t xml:space="preserve">unable to find affordable, appropriate and secure housing or are </w:t>
      </w:r>
      <w:r w:rsidR="00C8445D" w:rsidRPr="00C94627">
        <w:rPr>
          <w:rFonts w:ascii="Arial" w:hAnsi="Arial" w:cs="Arial"/>
        </w:rPr>
        <w:t xml:space="preserve">struggling to maintain their housing </w:t>
      </w:r>
      <w:r w:rsidR="00626B8B" w:rsidRPr="00C94627">
        <w:rPr>
          <w:rFonts w:ascii="Arial" w:hAnsi="Arial" w:cs="Arial"/>
        </w:rPr>
        <w:t>due to rising rents</w:t>
      </w:r>
      <w:r w:rsidR="00C8445D" w:rsidRPr="00C94627">
        <w:rPr>
          <w:rFonts w:ascii="Arial" w:hAnsi="Arial" w:cs="Arial"/>
        </w:rPr>
        <w:t>. As a result</w:t>
      </w:r>
      <w:r w:rsidR="00626B8B" w:rsidRPr="00C94627">
        <w:rPr>
          <w:rFonts w:ascii="Arial" w:hAnsi="Arial" w:cs="Arial"/>
        </w:rPr>
        <w:t>,</w:t>
      </w:r>
      <w:r w:rsidR="00C8445D" w:rsidRPr="00C94627">
        <w:rPr>
          <w:rFonts w:ascii="Arial" w:hAnsi="Arial" w:cs="Arial"/>
        </w:rPr>
        <w:t xml:space="preserve"> they are increasingly being forced to relocate to areas on the </w:t>
      </w:r>
      <w:r w:rsidR="0008587E" w:rsidRPr="00C94627">
        <w:rPr>
          <w:rFonts w:ascii="Arial" w:hAnsi="Arial" w:cs="Arial"/>
        </w:rPr>
        <w:t xml:space="preserve">urban </w:t>
      </w:r>
      <w:r w:rsidR="00C8445D" w:rsidRPr="00C94627">
        <w:rPr>
          <w:rFonts w:ascii="Arial" w:hAnsi="Arial" w:cs="Arial"/>
        </w:rPr>
        <w:t xml:space="preserve">fringe without </w:t>
      </w:r>
      <w:r w:rsidR="00626B8B" w:rsidRPr="00C94627">
        <w:rPr>
          <w:rFonts w:ascii="Arial" w:hAnsi="Arial" w:cs="Arial"/>
        </w:rPr>
        <w:t>adequate</w:t>
      </w:r>
      <w:r w:rsidR="00C8445D" w:rsidRPr="00C94627">
        <w:rPr>
          <w:rFonts w:ascii="Arial" w:hAnsi="Arial" w:cs="Arial"/>
        </w:rPr>
        <w:t xml:space="preserve"> services and infrastructure and away from their social supports. </w:t>
      </w:r>
      <w:r w:rsidR="00343645" w:rsidRPr="00C94627">
        <w:rPr>
          <w:rFonts w:ascii="Arial" w:hAnsi="Arial" w:cs="Arial"/>
        </w:rPr>
        <w:t>Some are living in substandard housing and rooming hous</w:t>
      </w:r>
      <w:r w:rsidR="00C86808">
        <w:rPr>
          <w:rFonts w:ascii="Arial" w:hAnsi="Arial" w:cs="Arial"/>
        </w:rPr>
        <w:t>es</w:t>
      </w:r>
      <w:r w:rsidR="00343645" w:rsidRPr="00C94627">
        <w:rPr>
          <w:rFonts w:ascii="Arial" w:hAnsi="Arial" w:cs="Arial"/>
        </w:rPr>
        <w:t xml:space="preserve"> while o</w:t>
      </w:r>
      <w:r w:rsidR="004758C2" w:rsidRPr="00C94627">
        <w:rPr>
          <w:rFonts w:ascii="Arial" w:hAnsi="Arial" w:cs="Arial"/>
        </w:rPr>
        <w:t xml:space="preserve">thers </w:t>
      </w:r>
      <w:r w:rsidR="00626B8B" w:rsidRPr="00C94627">
        <w:rPr>
          <w:rFonts w:ascii="Arial" w:hAnsi="Arial" w:cs="Arial"/>
        </w:rPr>
        <w:t>have no regular place to stay or are homeless.</w:t>
      </w:r>
    </w:p>
    <w:p w:rsidR="004758C2" w:rsidRDefault="004758C2" w:rsidP="00C94627">
      <w:pPr>
        <w:spacing w:after="0" w:line="240" w:lineRule="auto"/>
        <w:jc w:val="both"/>
        <w:rPr>
          <w:rFonts w:ascii="Arial" w:hAnsi="Arial" w:cs="Arial"/>
        </w:rPr>
      </w:pPr>
    </w:p>
    <w:p w:rsidR="00973D3E" w:rsidRPr="00C94627" w:rsidRDefault="00973D3E" w:rsidP="00C94627">
      <w:pPr>
        <w:spacing w:after="0" w:line="240" w:lineRule="auto"/>
        <w:jc w:val="both"/>
        <w:rPr>
          <w:rFonts w:ascii="Arial" w:hAnsi="Arial" w:cs="Arial"/>
        </w:rPr>
      </w:pPr>
    </w:p>
    <w:p w:rsidR="00632C03" w:rsidRDefault="00632C03" w:rsidP="00C94627">
      <w:pPr>
        <w:spacing w:after="0" w:line="240" w:lineRule="auto"/>
        <w:jc w:val="both"/>
        <w:rPr>
          <w:rFonts w:ascii="Arial" w:hAnsi="Arial" w:cs="Arial"/>
          <w:b/>
          <w:color w:val="76923C" w:themeColor="accent3" w:themeShade="BF"/>
        </w:rPr>
      </w:pPr>
    </w:p>
    <w:p w:rsidR="00626B8B" w:rsidRDefault="006C4107" w:rsidP="00C94627">
      <w:pPr>
        <w:spacing w:after="0" w:line="240" w:lineRule="auto"/>
        <w:jc w:val="both"/>
        <w:rPr>
          <w:rFonts w:ascii="Arial" w:hAnsi="Arial" w:cs="Arial"/>
          <w:b/>
          <w:color w:val="76923C" w:themeColor="accent3" w:themeShade="BF"/>
        </w:rPr>
      </w:pPr>
      <w:r w:rsidRPr="006C4107">
        <w:rPr>
          <w:rFonts w:ascii="Arial" w:hAnsi="Arial" w:cs="Arial"/>
          <w:b/>
          <w:color w:val="76923C" w:themeColor="accent3" w:themeShade="BF"/>
        </w:rPr>
        <w:lastRenderedPageBreak/>
        <w:t>Defining ‘Affordable Housing’</w:t>
      </w:r>
    </w:p>
    <w:p w:rsidR="00973D3E" w:rsidRPr="00C86808" w:rsidRDefault="00973D3E" w:rsidP="00C94627">
      <w:pPr>
        <w:spacing w:after="0" w:line="240" w:lineRule="auto"/>
        <w:jc w:val="both"/>
        <w:rPr>
          <w:rFonts w:ascii="Arial" w:hAnsi="Arial" w:cs="Arial"/>
          <w:b/>
          <w:color w:val="76923C" w:themeColor="accent3" w:themeShade="BF"/>
        </w:rPr>
      </w:pPr>
    </w:p>
    <w:p w:rsidR="00626B8B" w:rsidRPr="00C94627" w:rsidRDefault="0008587E" w:rsidP="00C94627">
      <w:pPr>
        <w:spacing w:after="0" w:line="240" w:lineRule="auto"/>
        <w:rPr>
          <w:rFonts w:ascii="Arial" w:eastAsia="Times New Roman" w:hAnsi="Arial" w:cs="Arial"/>
          <w:lang w:eastAsia="en-AU"/>
        </w:rPr>
      </w:pPr>
      <w:r w:rsidRPr="00C94627">
        <w:rPr>
          <w:rFonts w:ascii="Arial" w:eastAsia="Times New Roman" w:hAnsi="Arial" w:cs="Arial"/>
          <w:lang w:eastAsia="en-AU"/>
        </w:rPr>
        <w:t xml:space="preserve">In order to discuss the complexities of affordability, it is important to develop a clear and shared understanding of what it means. </w:t>
      </w:r>
      <w:r w:rsidR="00626B8B" w:rsidRPr="00C94627">
        <w:rPr>
          <w:rFonts w:ascii="Arial" w:eastAsia="Times New Roman" w:hAnsi="Arial" w:cs="Arial"/>
          <w:lang w:eastAsia="en-AU"/>
        </w:rPr>
        <w:t xml:space="preserve">There is </w:t>
      </w:r>
      <w:r w:rsidR="00B749C6" w:rsidRPr="00C94627">
        <w:rPr>
          <w:rFonts w:ascii="Arial" w:eastAsia="Times New Roman" w:hAnsi="Arial" w:cs="Arial"/>
          <w:lang w:eastAsia="en-AU"/>
        </w:rPr>
        <w:t xml:space="preserve">currently </w:t>
      </w:r>
      <w:r w:rsidR="00626B8B" w:rsidRPr="00C94627">
        <w:rPr>
          <w:rFonts w:ascii="Arial" w:eastAsia="Times New Roman" w:hAnsi="Arial" w:cs="Arial"/>
          <w:lang w:eastAsia="en-AU"/>
        </w:rPr>
        <w:t xml:space="preserve">no clear definition of </w:t>
      </w:r>
      <w:r w:rsidR="00626B8B" w:rsidRPr="00C94627">
        <w:rPr>
          <w:rFonts w:ascii="Arial" w:eastAsia="Times New Roman" w:hAnsi="Arial" w:cs="Arial"/>
          <w:i/>
          <w:lang w:eastAsia="en-AU"/>
        </w:rPr>
        <w:t>affordable housing</w:t>
      </w:r>
      <w:r w:rsidR="00626B8B" w:rsidRPr="00C94627">
        <w:rPr>
          <w:rFonts w:ascii="Arial" w:eastAsia="Times New Roman" w:hAnsi="Arial" w:cs="Arial"/>
          <w:lang w:eastAsia="en-AU"/>
        </w:rPr>
        <w:t xml:space="preserve"> in Victoria</w:t>
      </w:r>
      <w:r w:rsidR="00B749C6" w:rsidRPr="00C94627">
        <w:rPr>
          <w:rFonts w:ascii="Arial" w:eastAsia="Times New Roman" w:hAnsi="Arial" w:cs="Arial"/>
          <w:lang w:eastAsia="en-AU"/>
        </w:rPr>
        <w:t>, or for that matter nationally</w:t>
      </w:r>
      <w:r w:rsidR="00626B8B" w:rsidRPr="00C94627">
        <w:rPr>
          <w:rFonts w:ascii="Arial" w:eastAsia="Times New Roman" w:hAnsi="Arial" w:cs="Arial"/>
          <w:lang w:eastAsia="en-AU"/>
        </w:rPr>
        <w:t xml:space="preserve">. The terms affordable, social and public housing are often used interchangeably which can cause confusion </w:t>
      </w:r>
      <w:r w:rsidR="00B749C6" w:rsidRPr="00C94627">
        <w:rPr>
          <w:rFonts w:ascii="Arial" w:eastAsia="Times New Roman" w:hAnsi="Arial" w:cs="Arial"/>
          <w:lang w:eastAsia="en-AU"/>
        </w:rPr>
        <w:t>for</w:t>
      </w:r>
      <w:r w:rsidRPr="00C94627">
        <w:rPr>
          <w:rFonts w:ascii="Arial" w:eastAsia="Times New Roman" w:hAnsi="Arial" w:cs="Arial"/>
          <w:lang w:eastAsia="en-AU"/>
        </w:rPr>
        <w:t xml:space="preserve"> all those involved or concerned about the issue</w:t>
      </w:r>
      <w:r w:rsidR="00626B8B" w:rsidRPr="00C94627">
        <w:rPr>
          <w:rFonts w:ascii="Arial" w:eastAsia="Times New Roman" w:hAnsi="Arial" w:cs="Arial"/>
          <w:lang w:eastAsia="en-AU"/>
        </w:rPr>
        <w:t>; even the terms of reference for this Inquiry lack a clear definition of what constitutes affordable housing.</w:t>
      </w:r>
    </w:p>
    <w:p w:rsidR="009A5210" w:rsidRDefault="009A5210" w:rsidP="00C94627">
      <w:pPr>
        <w:spacing w:after="0" w:line="240" w:lineRule="auto"/>
        <w:jc w:val="both"/>
        <w:rPr>
          <w:rFonts w:ascii="Arial" w:hAnsi="Arial" w:cs="Arial"/>
        </w:rPr>
      </w:pPr>
    </w:p>
    <w:p w:rsidR="00211D01" w:rsidRPr="00C94627" w:rsidRDefault="00626B8B" w:rsidP="00C94627">
      <w:pPr>
        <w:spacing w:after="0" w:line="240" w:lineRule="auto"/>
        <w:jc w:val="both"/>
        <w:rPr>
          <w:rFonts w:ascii="Arial" w:hAnsi="Arial" w:cs="Arial"/>
        </w:rPr>
      </w:pPr>
      <w:r w:rsidRPr="00C94627">
        <w:rPr>
          <w:rFonts w:ascii="Arial" w:hAnsi="Arial" w:cs="Arial"/>
        </w:rPr>
        <w:t xml:space="preserve">As mentioned previously, </w:t>
      </w:r>
      <w:r w:rsidR="002E1DCD" w:rsidRPr="00C94627">
        <w:rPr>
          <w:rFonts w:ascii="Arial" w:hAnsi="Arial" w:cs="Arial"/>
        </w:rPr>
        <w:t xml:space="preserve">affordability is </w:t>
      </w:r>
      <w:r w:rsidR="00457FBB" w:rsidRPr="00C94627">
        <w:rPr>
          <w:rFonts w:ascii="Arial" w:hAnsi="Arial" w:cs="Arial"/>
        </w:rPr>
        <w:t xml:space="preserve">experienced </w:t>
      </w:r>
      <w:r w:rsidR="002E1DCD" w:rsidRPr="00C94627">
        <w:rPr>
          <w:rFonts w:ascii="Arial" w:hAnsi="Arial" w:cs="Arial"/>
        </w:rPr>
        <w:t xml:space="preserve">differently across the income spectrum. For </w:t>
      </w:r>
      <w:r w:rsidR="0008587E" w:rsidRPr="00C94627">
        <w:rPr>
          <w:rFonts w:ascii="Arial" w:hAnsi="Arial" w:cs="Arial"/>
        </w:rPr>
        <w:t>exampl</w:t>
      </w:r>
      <w:r w:rsidR="002E1DCD" w:rsidRPr="00C94627">
        <w:rPr>
          <w:rFonts w:ascii="Arial" w:hAnsi="Arial" w:cs="Arial"/>
        </w:rPr>
        <w:t>e</w:t>
      </w:r>
      <w:r w:rsidR="0008587E" w:rsidRPr="00C94627">
        <w:rPr>
          <w:rFonts w:ascii="Arial" w:hAnsi="Arial" w:cs="Arial"/>
        </w:rPr>
        <w:t>,</w:t>
      </w:r>
      <w:r w:rsidR="008A30A3" w:rsidRPr="00C94627">
        <w:rPr>
          <w:rFonts w:ascii="Arial" w:hAnsi="Arial" w:cs="Arial"/>
        </w:rPr>
        <w:t xml:space="preserve"> when </w:t>
      </w:r>
      <w:r w:rsidR="0008587E" w:rsidRPr="00C94627">
        <w:rPr>
          <w:rFonts w:ascii="Arial" w:hAnsi="Arial" w:cs="Arial"/>
        </w:rPr>
        <w:t xml:space="preserve">applying </w:t>
      </w:r>
      <w:r w:rsidR="008A30A3" w:rsidRPr="00C94627">
        <w:rPr>
          <w:rFonts w:ascii="Arial" w:hAnsi="Arial" w:cs="Arial"/>
        </w:rPr>
        <w:t xml:space="preserve">the </w:t>
      </w:r>
      <w:r w:rsidR="0008587E" w:rsidRPr="00C94627">
        <w:rPr>
          <w:rFonts w:ascii="Arial" w:hAnsi="Arial" w:cs="Arial"/>
        </w:rPr>
        <w:t xml:space="preserve">commonly used </w:t>
      </w:r>
      <w:r w:rsidR="00631A11">
        <w:rPr>
          <w:rFonts w:ascii="Arial" w:hAnsi="Arial" w:cs="Arial"/>
        </w:rPr>
        <w:t>National Centre of Social and Economic Modelling (</w:t>
      </w:r>
      <w:r w:rsidR="008A30A3" w:rsidRPr="00C94627">
        <w:rPr>
          <w:rFonts w:ascii="Arial" w:hAnsi="Arial" w:cs="Arial"/>
        </w:rPr>
        <w:t>NATSEM</w:t>
      </w:r>
      <w:r w:rsidR="00631A11">
        <w:rPr>
          <w:rFonts w:ascii="Arial" w:hAnsi="Arial" w:cs="Arial"/>
        </w:rPr>
        <w:t>)</w:t>
      </w:r>
      <w:r w:rsidR="008A30A3" w:rsidRPr="00C94627">
        <w:rPr>
          <w:rFonts w:ascii="Arial" w:hAnsi="Arial" w:cs="Arial"/>
        </w:rPr>
        <w:t xml:space="preserve"> affordability benchmark</w:t>
      </w:r>
      <w:r w:rsidR="00631A11">
        <w:rPr>
          <w:rFonts w:ascii="Arial" w:hAnsi="Arial" w:cs="Arial"/>
        </w:rPr>
        <w:t>, affordability is defined as</w:t>
      </w:r>
      <w:r w:rsidR="008A30A3" w:rsidRPr="00C94627">
        <w:rPr>
          <w:rFonts w:ascii="Arial" w:hAnsi="Arial" w:cs="Arial"/>
        </w:rPr>
        <w:t xml:space="preserve"> housing costs </w:t>
      </w:r>
      <w:r w:rsidR="009A5210">
        <w:rPr>
          <w:rFonts w:ascii="Arial" w:hAnsi="Arial" w:cs="Arial"/>
        </w:rPr>
        <w:t xml:space="preserve">not </w:t>
      </w:r>
      <w:r w:rsidR="008A30A3" w:rsidRPr="00C94627">
        <w:rPr>
          <w:rFonts w:ascii="Arial" w:hAnsi="Arial" w:cs="Arial"/>
        </w:rPr>
        <w:t>exceed</w:t>
      </w:r>
      <w:r w:rsidR="009A5210">
        <w:rPr>
          <w:rFonts w:ascii="Arial" w:hAnsi="Arial" w:cs="Arial"/>
        </w:rPr>
        <w:t>ing</w:t>
      </w:r>
      <w:r w:rsidR="008A30A3" w:rsidRPr="00C94627">
        <w:rPr>
          <w:rFonts w:ascii="Arial" w:hAnsi="Arial" w:cs="Arial"/>
        </w:rPr>
        <w:t xml:space="preserve"> </w:t>
      </w:r>
      <w:r w:rsidR="002E1DCD" w:rsidRPr="00C94627">
        <w:rPr>
          <w:rFonts w:ascii="Arial" w:hAnsi="Arial" w:cs="Arial"/>
        </w:rPr>
        <w:t>30 per cen</w:t>
      </w:r>
      <w:r w:rsidR="008A30A3" w:rsidRPr="00C94627">
        <w:rPr>
          <w:rFonts w:ascii="Arial" w:hAnsi="Arial" w:cs="Arial"/>
        </w:rPr>
        <w:t>t of household income for households in the lowest 40 per</w:t>
      </w:r>
      <w:r w:rsidR="00973D3E">
        <w:rPr>
          <w:rFonts w:ascii="Arial" w:hAnsi="Arial" w:cs="Arial"/>
        </w:rPr>
        <w:t xml:space="preserve"> </w:t>
      </w:r>
      <w:r w:rsidR="008A30A3" w:rsidRPr="00C94627">
        <w:rPr>
          <w:rFonts w:ascii="Arial" w:hAnsi="Arial" w:cs="Arial"/>
        </w:rPr>
        <w:t>cent of incomes</w:t>
      </w:r>
      <w:r w:rsidR="009A5210">
        <w:rPr>
          <w:rFonts w:ascii="Arial" w:hAnsi="Arial" w:cs="Arial"/>
        </w:rPr>
        <w:t xml:space="preserve">. Where this occurs these </w:t>
      </w:r>
      <w:r w:rsidR="00631A11">
        <w:rPr>
          <w:rFonts w:ascii="Arial" w:hAnsi="Arial" w:cs="Arial"/>
        </w:rPr>
        <w:t>households hav</w:t>
      </w:r>
      <w:r w:rsidR="009A5210">
        <w:rPr>
          <w:rFonts w:ascii="Arial" w:hAnsi="Arial" w:cs="Arial"/>
        </w:rPr>
        <w:t>e</w:t>
      </w:r>
      <w:r w:rsidR="008A30A3" w:rsidRPr="00C94627">
        <w:rPr>
          <w:rFonts w:ascii="Arial" w:hAnsi="Arial" w:cs="Arial"/>
        </w:rPr>
        <w:t xml:space="preserve"> little or minimal discretionary income to cover the bare essentials</w:t>
      </w:r>
      <w:r w:rsidR="00631A11">
        <w:rPr>
          <w:rFonts w:ascii="Arial" w:hAnsi="Arial" w:cs="Arial"/>
        </w:rPr>
        <w:t>.</w:t>
      </w:r>
      <w:r w:rsidR="009A5210">
        <w:rPr>
          <w:rFonts w:ascii="Arial" w:hAnsi="Arial" w:cs="Arial"/>
        </w:rPr>
        <w:t xml:space="preserve"> </w:t>
      </w:r>
      <w:r w:rsidR="00631A11">
        <w:rPr>
          <w:rFonts w:ascii="Arial" w:hAnsi="Arial" w:cs="Arial"/>
        </w:rPr>
        <w:t>I</w:t>
      </w:r>
      <w:r w:rsidR="008A30A3" w:rsidRPr="00C94627">
        <w:rPr>
          <w:rFonts w:ascii="Arial" w:hAnsi="Arial" w:cs="Arial"/>
        </w:rPr>
        <w:t>ncreasing</w:t>
      </w:r>
      <w:r w:rsidR="009A5210">
        <w:rPr>
          <w:rFonts w:ascii="Arial" w:hAnsi="Arial" w:cs="Arial"/>
        </w:rPr>
        <w:t>ly</w:t>
      </w:r>
      <w:r w:rsidR="00631A11">
        <w:rPr>
          <w:rFonts w:ascii="Arial" w:hAnsi="Arial" w:cs="Arial"/>
        </w:rPr>
        <w:t xml:space="preserve">, </w:t>
      </w:r>
      <w:r w:rsidR="008A30A3" w:rsidRPr="00C94627">
        <w:rPr>
          <w:rFonts w:ascii="Arial" w:hAnsi="Arial" w:cs="Arial"/>
        </w:rPr>
        <w:t>those with moderate incomes are</w:t>
      </w:r>
      <w:r w:rsidR="00631A11">
        <w:rPr>
          <w:rFonts w:ascii="Arial" w:hAnsi="Arial" w:cs="Arial"/>
        </w:rPr>
        <w:t xml:space="preserve"> also</w:t>
      </w:r>
      <w:r w:rsidR="008A30A3" w:rsidRPr="00C94627">
        <w:rPr>
          <w:rFonts w:ascii="Arial" w:hAnsi="Arial" w:cs="Arial"/>
        </w:rPr>
        <w:t xml:space="preserve"> finding the </w:t>
      </w:r>
      <w:r w:rsidR="00E2265B" w:rsidRPr="00C94627">
        <w:rPr>
          <w:rFonts w:ascii="Arial" w:hAnsi="Arial" w:cs="Arial"/>
        </w:rPr>
        <w:t>standard of</w:t>
      </w:r>
      <w:r w:rsidR="008A30A3" w:rsidRPr="00C94627">
        <w:rPr>
          <w:rFonts w:ascii="Arial" w:hAnsi="Arial" w:cs="Arial"/>
        </w:rPr>
        <w:t xml:space="preserve"> housing they can afford is </w:t>
      </w:r>
      <w:r w:rsidR="00E2265B" w:rsidRPr="00C94627">
        <w:rPr>
          <w:rFonts w:ascii="Arial" w:hAnsi="Arial" w:cs="Arial"/>
        </w:rPr>
        <w:t xml:space="preserve">declining and </w:t>
      </w:r>
      <w:r w:rsidR="009A5210">
        <w:rPr>
          <w:rFonts w:ascii="Arial" w:hAnsi="Arial" w:cs="Arial"/>
        </w:rPr>
        <w:t xml:space="preserve">is located </w:t>
      </w:r>
      <w:r w:rsidR="00E2265B" w:rsidRPr="00C94627">
        <w:rPr>
          <w:rFonts w:ascii="Arial" w:hAnsi="Arial" w:cs="Arial"/>
        </w:rPr>
        <w:t xml:space="preserve">away from </w:t>
      </w:r>
      <w:r w:rsidR="00780EAF">
        <w:rPr>
          <w:rFonts w:ascii="Arial" w:hAnsi="Arial" w:cs="Arial"/>
        </w:rPr>
        <w:t xml:space="preserve">employment, </w:t>
      </w:r>
      <w:r w:rsidR="00631A11">
        <w:rPr>
          <w:rFonts w:ascii="Arial" w:hAnsi="Arial" w:cs="Arial"/>
        </w:rPr>
        <w:t xml:space="preserve">essential </w:t>
      </w:r>
      <w:r w:rsidR="00E2265B" w:rsidRPr="00C94627">
        <w:rPr>
          <w:rFonts w:ascii="Arial" w:hAnsi="Arial" w:cs="Arial"/>
        </w:rPr>
        <w:t>services and infrastructure</w:t>
      </w:r>
      <w:r w:rsidR="00631A11">
        <w:rPr>
          <w:rFonts w:ascii="Arial" w:hAnsi="Arial" w:cs="Arial"/>
        </w:rPr>
        <w:t>, such as health care and transport</w:t>
      </w:r>
      <w:r w:rsidR="00457FBB" w:rsidRPr="00C94627">
        <w:rPr>
          <w:rFonts w:ascii="Arial" w:hAnsi="Arial" w:cs="Arial"/>
        </w:rPr>
        <w:t xml:space="preserve">. </w:t>
      </w:r>
    </w:p>
    <w:p w:rsidR="00E2265B" w:rsidRPr="00C94627" w:rsidRDefault="00E2265B" w:rsidP="00C94627">
      <w:pPr>
        <w:spacing w:after="0" w:line="240" w:lineRule="auto"/>
        <w:jc w:val="both"/>
        <w:rPr>
          <w:rFonts w:ascii="Arial" w:hAnsi="Arial" w:cs="Arial"/>
        </w:rPr>
      </w:pPr>
    </w:p>
    <w:p w:rsidR="00703520" w:rsidRDefault="00211D01" w:rsidP="00C94627">
      <w:pPr>
        <w:spacing w:after="0" w:line="240" w:lineRule="auto"/>
        <w:jc w:val="both"/>
        <w:rPr>
          <w:rFonts w:ascii="Arial" w:hAnsi="Arial" w:cs="Arial"/>
        </w:rPr>
      </w:pPr>
      <w:r w:rsidRPr="00C94627">
        <w:rPr>
          <w:rFonts w:ascii="Arial" w:hAnsi="Arial" w:cs="Arial"/>
        </w:rPr>
        <w:t xml:space="preserve">In the absence of any </w:t>
      </w:r>
      <w:r w:rsidR="00E2265B" w:rsidRPr="00C94627">
        <w:rPr>
          <w:rFonts w:ascii="Arial" w:hAnsi="Arial" w:cs="Arial"/>
        </w:rPr>
        <w:t>generally</w:t>
      </w:r>
      <w:r w:rsidR="009C6600" w:rsidRPr="00C94627">
        <w:rPr>
          <w:rFonts w:ascii="Arial" w:hAnsi="Arial" w:cs="Arial"/>
        </w:rPr>
        <w:t xml:space="preserve"> agreed or government </w:t>
      </w:r>
      <w:r w:rsidR="00D615B3" w:rsidRPr="00C94627">
        <w:rPr>
          <w:rFonts w:ascii="Arial" w:hAnsi="Arial" w:cs="Arial"/>
        </w:rPr>
        <w:t xml:space="preserve">adopted </w:t>
      </w:r>
      <w:r w:rsidRPr="00C94627">
        <w:rPr>
          <w:rFonts w:ascii="Arial" w:hAnsi="Arial" w:cs="Arial"/>
        </w:rPr>
        <w:t>defin</w:t>
      </w:r>
      <w:r w:rsidR="009C6600" w:rsidRPr="00C94627">
        <w:rPr>
          <w:rFonts w:ascii="Arial" w:hAnsi="Arial" w:cs="Arial"/>
        </w:rPr>
        <w:t xml:space="preserve">ition, </w:t>
      </w:r>
      <w:r w:rsidRPr="00C94627">
        <w:rPr>
          <w:rFonts w:ascii="Arial" w:hAnsi="Arial" w:cs="Arial"/>
        </w:rPr>
        <w:t xml:space="preserve">Hobsons City Council </w:t>
      </w:r>
      <w:r w:rsidR="00D615B3" w:rsidRPr="00C94627">
        <w:rPr>
          <w:rFonts w:ascii="Arial" w:hAnsi="Arial" w:cs="Arial"/>
        </w:rPr>
        <w:t xml:space="preserve">has </w:t>
      </w:r>
      <w:r w:rsidRPr="00C94627">
        <w:rPr>
          <w:rFonts w:ascii="Arial" w:hAnsi="Arial" w:cs="Arial"/>
        </w:rPr>
        <w:t>developed its own definition to inform it</w:t>
      </w:r>
      <w:r w:rsidR="009C6600" w:rsidRPr="00C94627">
        <w:rPr>
          <w:rFonts w:ascii="Arial" w:hAnsi="Arial" w:cs="Arial"/>
        </w:rPr>
        <w:t>s affordable housing policy statement</w:t>
      </w:r>
      <w:r w:rsidR="00E2265B" w:rsidRPr="00C94627">
        <w:rPr>
          <w:rFonts w:ascii="Arial" w:hAnsi="Arial" w:cs="Arial"/>
        </w:rPr>
        <w:t>,</w:t>
      </w:r>
      <w:r w:rsidR="009C6600" w:rsidRPr="00C94627">
        <w:rPr>
          <w:rFonts w:ascii="Arial" w:hAnsi="Arial" w:cs="Arial"/>
        </w:rPr>
        <w:t xml:space="preserve"> </w:t>
      </w:r>
      <w:r w:rsidR="009C6600" w:rsidRPr="00C94627">
        <w:rPr>
          <w:rFonts w:ascii="Arial" w:hAnsi="Arial" w:cs="Arial"/>
          <w:i/>
        </w:rPr>
        <w:t>Improved Housing Choices for Residents on Low Incomes</w:t>
      </w:r>
      <w:r w:rsidR="00703520">
        <w:rPr>
          <w:rFonts w:ascii="Arial" w:hAnsi="Arial" w:cs="Arial"/>
          <w:i/>
        </w:rPr>
        <w:t xml:space="preserve"> (Affordable Housing) 2011</w:t>
      </w:r>
      <w:r w:rsidR="009C6600" w:rsidRPr="00C94627">
        <w:rPr>
          <w:rFonts w:ascii="Arial" w:hAnsi="Arial" w:cs="Arial"/>
        </w:rPr>
        <w:t xml:space="preserve">. </w:t>
      </w:r>
      <w:r w:rsidR="00703520">
        <w:rPr>
          <w:rFonts w:ascii="Arial" w:hAnsi="Arial" w:cs="Arial"/>
        </w:rPr>
        <w:t>T</w:t>
      </w:r>
      <w:r w:rsidR="009C6600" w:rsidRPr="00C94627">
        <w:rPr>
          <w:rFonts w:ascii="Arial" w:hAnsi="Arial" w:cs="Arial"/>
        </w:rPr>
        <w:t xml:space="preserve">he policy statement defines affordable housing </w:t>
      </w:r>
      <w:r w:rsidR="00E2265B" w:rsidRPr="00C94627">
        <w:rPr>
          <w:rFonts w:ascii="Arial" w:hAnsi="Arial" w:cs="Arial"/>
        </w:rPr>
        <w:t>by its tenure and by the economic capacity of potential residents. It refers to affordable housing as</w:t>
      </w:r>
      <w:r w:rsidR="009C6600" w:rsidRPr="00C94627">
        <w:rPr>
          <w:rFonts w:ascii="Arial" w:hAnsi="Arial" w:cs="Arial"/>
          <w:i/>
        </w:rPr>
        <w:t xml:space="preserve"> </w:t>
      </w:r>
      <w:r w:rsidR="00703520">
        <w:rPr>
          <w:rFonts w:ascii="Arial" w:hAnsi="Arial" w:cs="Arial"/>
          <w:i/>
        </w:rPr>
        <w:t>“</w:t>
      </w:r>
      <w:r w:rsidR="009C6600" w:rsidRPr="00C94627">
        <w:rPr>
          <w:rFonts w:ascii="Arial" w:hAnsi="Arial" w:cs="Arial"/>
          <w:i/>
        </w:rPr>
        <w:t xml:space="preserve">housing that is owned and managed by community organisations, state owned public housing or housing that costs no more than 30% of the income of households on the </w:t>
      </w:r>
      <w:r w:rsidR="00703520">
        <w:rPr>
          <w:rFonts w:ascii="Arial" w:hAnsi="Arial" w:cs="Arial"/>
          <w:i/>
        </w:rPr>
        <w:t>lowest</w:t>
      </w:r>
      <w:r w:rsidR="00703520" w:rsidRPr="00C94627">
        <w:rPr>
          <w:rFonts w:ascii="Arial" w:hAnsi="Arial" w:cs="Arial"/>
          <w:i/>
        </w:rPr>
        <w:t xml:space="preserve"> </w:t>
      </w:r>
      <w:r w:rsidR="009C6600" w:rsidRPr="00C94627">
        <w:rPr>
          <w:rFonts w:ascii="Arial" w:hAnsi="Arial" w:cs="Arial"/>
          <w:i/>
        </w:rPr>
        <w:t xml:space="preserve">40% of </w:t>
      </w:r>
      <w:r w:rsidR="00703520">
        <w:rPr>
          <w:rFonts w:ascii="Arial" w:hAnsi="Arial" w:cs="Arial"/>
          <w:i/>
        </w:rPr>
        <w:t xml:space="preserve">the </w:t>
      </w:r>
      <w:r w:rsidR="009C6600" w:rsidRPr="00C94627">
        <w:rPr>
          <w:rFonts w:ascii="Arial" w:hAnsi="Arial" w:cs="Arial"/>
          <w:i/>
        </w:rPr>
        <w:t>income</w:t>
      </w:r>
      <w:r w:rsidR="00703520">
        <w:rPr>
          <w:rFonts w:ascii="Arial" w:hAnsi="Arial" w:cs="Arial"/>
          <w:i/>
        </w:rPr>
        <w:t xml:space="preserve"> scale</w:t>
      </w:r>
      <w:r w:rsidR="009C6600" w:rsidRPr="00C94627">
        <w:rPr>
          <w:rFonts w:ascii="Arial" w:hAnsi="Arial" w:cs="Arial"/>
          <w:i/>
        </w:rPr>
        <w:t>.</w:t>
      </w:r>
      <w:r w:rsidR="00703520">
        <w:rPr>
          <w:rFonts w:ascii="Arial" w:hAnsi="Arial" w:cs="Arial"/>
          <w:i/>
        </w:rPr>
        <w:t>”</w:t>
      </w:r>
      <w:r w:rsidR="00D615B3" w:rsidRPr="00C94627">
        <w:rPr>
          <w:rFonts w:ascii="Arial" w:hAnsi="Arial" w:cs="Arial"/>
        </w:rPr>
        <w:t xml:space="preserve"> </w:t>
      </w:r>
    </w:p>
    <w:p w:rsidR="00703520" w:rsidRDefault="00703520" w:rsidP="00C94627">
      <w:pPr>
        <w:spacing w:after="0" w:line="240" w:lineRule="auto"/>
        <w:jc w:val="both"/>
        <w:rPr>
          <w:rFonts w:ascii="Arial" w:hAnsi="Arial" w:cs="Arial"/>
        </w:rPr>
      </w:pPr>
    </w:p>
    <w:p w:rsidR="004C36AC" w:rsidRDefault="00703520" w:rsidP="00C94627">
      <w:pPr>
        <w:spacing w:after="0" w:line="240" w:lineRule="auto"/>
        <w:jc w:val="both"/>
        <w:rPr>
          <w:rFonts w:ascii="Arial" w:hAnsi="Arial" w:cs="Arial"/>
          <w:color w:val="000000" w:themeColor="text1"/>
        </w:rPr>
      </w:pPr>
      <w:r>
        <w:rPr>
          <w:rFonts w:ascii="Arial" w:hAnsi="Arial" w:cs="Arial"/>
        </w:rPr>
        <w:t>Whilst t</w:t>
      </w:r>
      <w:r w:rsidR="00D615B3" w:rsidRPr="00C94627">
        <w:rPr>
          <w:rFonts w:ascii="Arial" w:hAnsi="Arial" w:cs="Arial"/>
          <w:color w:val="000000" w:themeColor="text1"/>
        </w:rPr>
        <w:t>he Council</w:t>
      </w:r>
      <w:r>
        <w:rPr>
          <w:rFonts w:ascii="Arial" w:hAnsi="Arial" w:cs="Arial"/>
          <w:color w:val="000000" w:themeColor="text1"/>
        </w:rPr>
        <w:t xml:space="preserve"> has developed a definition, </w:t>
      </w:r>
      <w:r w:rsidR="00D615B3" w:rsidRPr="00C94627">
        <w:rPr>
          <w:rFonts w:ascii="Arial" w:hAnsi="Arial" w:cs="Arial"/>
          <w:color w:val="000000" w:themeColor="text1"/>
        </w:rPr>
        <w:t xml:space="preserve">it </w:t>
      </w:r>
      <w:r w:rsidR="00780EAF">
        <w:rPr>
          <w:rFonts w:ascii="Arial" w:hAnsi="Arial" w:cs="Arial"/>
          <w:color w:val="000000" w:themeColor="text1"/>
        </w:rPr>
        <w:t xml:space="preserve">believes it </w:t>
      </w:r>
      <w:r w:rsidR="00D615B3" w:rsidRPr="00C94627">
        <w:rPr>
          <w:rFonts w:ascii="Arial" w:hAnsi="Arial" w:cs="Arial"/>
          <w:color w:val="000000" w:themeColor="text1"/>
        </w:rPr>
        <w:t xml:space="preserve">is </w:t>
      </w:r>
      <w:r w:rsidR="00457FBB" w:rsidRPr="00C94627">
        <w:rPr>
          <w:rFonts w:ascii="Arial" w:hAnsi="Arial" w:cs="Arial"/>
          <w:color w:val="000000" w:themeColor="text1"/>
        </w:rPr>
        <w:t>critical that a definition of affordable housing</w:t>
      </w:r>
      <w:r w:rsidR="004C36AC" w:rsidRPr="00C94627">
        <w:rPr>
          <w:rFonts w:ascii="Arial" w:hAnsi="Arial" w:cs="Arial"/>
          <w:color w:val="000000" w:themeColor="text1"/>
        </w:rPr>
        <w:t xml:space="preserve">, or possibly an affordability spectrum, </w:t>
      </w:r>
      <w:r>
        <w:rPr>
          <w:rFonts w:ascii="Arial" w:hAnsi="Arial" w:cs="Arial"/>
          <w:color w:val="000000" w:themeColor="text1"/>
        </w:rPr>
        <w:t>is</w:t>
      </w:r>
      <w:r w:rsidR="00457FBB" w:rsidRPr="00C94627">
        <w:rPr>
          <w:rFonts w:ascii="Arial" w:hAnsi="Arial" w:cs="Arial"/>
          <w:color w:val="000000" w:themeColor="text1"/>
        </w:rPr>
        <w:t xml:space="preserve"> developed </w:t>
      </w:r>
      <w:r w:rsidR="00780EAF">
        <w:rPr>
          <w:rFonts w:ascii="Arial" w:hAnsi="Arial" w:cs="Arial"/>
          <w:color w:val="000000" w:themeColor="text1"/>
        </w:rPr>
        <w:t>and</w:t>
      </w:r>
      <w:r>
        <w:rPr>
          <w:rFonts w:ascii="Arial" w:hAnsi="Arial" w:cs="Arial"/>
          <w:color w:val="000000" w:themeColor="text1"/>
        </w:rPr>
        <w:t xml:space="preserve"> </w:t>
      </w:r>
      <w:r w:rsidR="00780EAF">
        <w:rPr>
          <w:rFonts w:ascii="Arial" w:hAnsi="Arial" w:cs="Arial"/>
          <w:color w:val="000000" w:themeColor="text1"/>
        </w:rPr>
        <w:t>has</w:t>
      </w:r>
      <w:r>
        <w:rPr>
          <w:rFonts w:ascii="Arial" w:hAnsi="Arial" w:cs="Arial"/>
          <w:color w:val="000000" w:themeColor="text1"/>
        </w:rPr>
        <w:t xml:space="preserve"> universal </w:t>
      </w:r>
      <w:r w:rsidR="00780EAF">
        <w:rPr>
          <w:rFonts w:ascii="Arial" w:hAnsi="Arial" w:cs="Arial"/>
          <w:color w:val="000000" w:themeColor="text1"/>
        </w:rPr>
        <w:t xml:space="preserve">application within </w:t>
      </w:r>
      <w:r>
        <w:rPr>
          <w:rFonts w:ascii="Arial" w:hAnsi="Arial" w:cs="Arial"/>
          <w:color w:val="000000" w:themeColor="text1"/>
        </w:rPr>
        <w:t xml:space="preserve">Australia.  This will </w:t>
      </w:r>
      <w:r w:rsidR="00457FBB" w:rsidRPr="00C94627">
        <w:rPr>
          <w:rFonts w:ascii="Arial" w:hAnsi="Arial" w:cs="Arial"/>
          <w:color w:val="000000" w:themeColor="text1"/>
        </w:rPr>
        <w:t>provide a shared understanding</w:t>
      </w:r>
      <w:r>
        <w:rPr>
          <w:rFonts w:ascii="Arial" w:hAnsi="Arial" w:cs="Arial"/>
          <w:color w:val="000000" w:themeColor="text1"/>
        </w:rPr>
        <w:t xml:space="preserve"> and </w:t>
      </w:r>
      <w:r w:rsidR="00532F25" w:rsidRPr="00C94627">
        <w:rPr>
          <w:rFonts w:ascii="Arial" w:hAnsi="Arial" w:cs="Arial"/>
          <w:color w:val="000000" w:themeColor="text1"/>
        </w:rPr>
        <w:t xml:space="preserve">agreement </w:t>
      </w:r>
      <w:r>
        <w:rPr>
          <w:rFonts w:ascii="Arial" w:hAnsi="Arial" w:cs="Arial"/>
          <w:color w:val="000000" w:themeColor="text1"/>
        </w:rPr>
        <w:t xml:space="preserve">which will support </w:t>
      </w:r>
      <w:r w:rsidR="00D615B3" w:rsidRPr="00C94627">
        <w:rPr>
          <w:rFonts w:ascii="Arial" w:hAnsi="Arial" w:cs="Arial"/>
          <w:color w:val="000000" w:themeColor="text1"/>
        </w:rPr>
        <w:t>the</w:t>
      </w:r>
      <w:r>
        <w:rPr>
          <w:rFonts w:ascii="Arial" w:hAnsi="Arial" w:cs="Arial"/>
          <w:color w:val="000000" w:themeColor="text1"/>
        </w:rPr>
        <w:t xml:space="preserve"> development of</w:t>
      </w:r>
      <w:r w:rsidR="00D615B3" w:rsidRPr="00C94627">
        <w:rPr>
          <w:rFonts w:ascii="Arial" w:hAnsi="Arial" w:cs="Arial"/>
          <w:color w:val="000000" w:themeColor="text1"/>
        </w:rPr>
        <w:t xml:space="preserve"> appropriate </w:t>
      </w:r>
      <w:r w:rsidR="000F6BC6" w:rsidRPr="00C94627">
        <w:rPr>
          <w:rFonts w:ascii="Arial" w:hAnsi="Arial" w:cs="Arial"/>
          <w:color w:val="000000" w:themeColor="text1"/>
        </w:rPr>
        <w:t xml:space="preserve">policies to </w:t>
      </w:r>
      <w:r w:rsidR="00D615B3" w:rsidRPr="00C94627">
        <w:rPr>
          <w:rFonts w:ascii="Arial" w:hAnsi="Arial" w:cs="Arial"/>
          <w:color w:val="000000" w:themeColor="text1"/>
        </w:rPr>
        <w:t>actions to be taken</w:t>
      </w:r>
      <w:r>
        <w:rPr>
          <w:rFonts w:ascii="Arial" w:hAnsi="Arial" w:cs="Arial"/>
          <w:color w:val="000000" w:themeColor="text1"/>
        </w:rPr>
        <w:t xml:space="preserve">. </w:t>
      </w:r>
      <w:r w:rsidR="004C36AC" w:rsidRPr="00C94627">
        <w:rPr>
          <w:rFonts w:ascii="Arial" w:hAnsi="Arial" w:cs="Arial"/>
          <w:color w:val="000000" w:themeColor="text1"/>
        </w:rPr>
        <w:t xml:space="preserve"> </w:t>
      </w:r>
      <w:r w:rsidR="00E2265B" w:rsidRPr="00C94627">
        <w:rPr>
          <w:rFonts w:ascii="Arial" w:hAnsi="Arial" w:cs="Arial"/>
          <w:color w:val="000000" w:themeColor="text1"/>
        </w:rPr>
        <w:t xml:space="preserve"> </w:t>
      </w:r>
    </w:p>
    <w:p w:rsidR="00E46912" w:rsidRDefault="00E46912" w:rsidP="00C94627">
      <w:pPr>
        <w:spacing w:after="0" w:line="240" w:lineRule="auto"/>
        <w:jc w:val="both"/>
        <w:rPr>
          <w:rFonts w:ascii="Arial" w:hAnsi="Arial" w:cs="Arial"/>
          <w:color w:val="000000" w:themeColor="text1"/>
        </w:rPr>
      </w:pPr>
    </w:p>
    <w:p w:rsidR="00E46912" w:rsidRDefault="006C4107" w:rsidP="00C94627">
      <w:pPr>
        <w:spacing w:after="0" w:line="240" w:lineRule="auto"/>
        <w:jc w:val="both"/>
        <w:rPr>
          <w:rFonts w:ascii="Arial" w:hAnsi="Arial" w:cs="Arial"/>
          <w:color w:val="000000" w:themeColor="text1"/>
        </w:rPr>
      </w:pPr>
      <w:r w:rsidRPr="006C4107">
        <w:rPr>
          <w:rFonts w:ascii="Arial" w:hAnsi="Arial" w:cs="Arial"/>
          <w:b/>
          <w:color w:val="000000" w:themeColor="text1"/>
        </w:rPr>
        <w:t>Recommendation</w:t>
      </w:r>
      <w:r w:rsidR="00780EAF">
        <w:rPr>
          <w:rFonts w:ascii="Arial" w:hAnsi="Arial" w:cs="Arial"/>
          <w:b/>
          <w:color w:val="000000" w:themeColor="text1"/>
        </w:rPr>
        <w:t xml:space="preserve"> 1</w:t>
      </w:r>
      <w:r w:rsidR="00E46912">
        <w:rPr>
          <w:rFonts w:ascii="Arial" w:hAnsi="Arial" w:cs="Arial"/>
          <w:color w:val="000000" w:themeColor="text1"/>
        </w:rPr>
        <w:t>:  That the federal and state governments</w:t>
      </w:r>
      <w:r w:rsidR="002441F3">
        <w:rPr>
          <w:rFonts w:ascii="Arial" w:hAnsi="Arial" w:cs="Arial"/>
          <w:color w:val="000000" w:themeColor="text1"/>
        </w:rPr>
        <w:t xml:space="preserve"> develop</w:t>
      </w:r>
      <w:r w:rsidR="00E46912">
        <w:rPr>
          <w:rFonts w:ascii="Arial" w:hAnsi="Arial" w:cs="Arial"/>
          <w:color w:val="000000" w:themeColor="text1"/>
        </w:rPr>
        <w:t xml:space="preserve"> </w:t>
      </w:r>
      <w:r w:rsidR="002441F3">
        <w:rPr>
          <w:rFonts w:ascii="Arial" w:hAnsi="Arial" w:cs="Arial"/>
          <w:color w:val="000000" w:themeColor="text1"/>
        </w:rPr>
        <w:t xml:space="preserve">a universal definition </w:t>
      </w:r>
      <w:r w:rsidR="00DE0834">
        <w:rPr>
          <w:rFonts w:ascii="Arial" w:hAnsi="Arial" w:cs="Arial"/>
          <w:color w:val="000000" w:themeColor="text1"/>
        </w:rPr>
        <w:t>that describes</w:t>
      </w:r>
      <w:r w:rsidR="002441F3">
        <w:rPr>
          <w:rFonts w:ascii="Arial" w:hAnsi="Arial" w:cs="Arial"/>
          <w:color w:val="000000" w:themeColor="text1"/>
        </w:rPr>
        <w:t xml:space="preserve"> what </w:t>
      </w:r>
      <w:r w:rsidR="00DE0834">
        <w:rPr>
          <w:rFonts w:ascii="Arial" w:hAnsi="Arial" w:cs="Arial"/>
          <w:color w:val="000000" w:themeColor="text1"/>
        </w:rPr>
        <w:t>type of housing</w:t>
      </w:r>
      <w:r w:rsidR="00F144C1">
        <w:rPr>
          <w:rFonts w:ascii="Arial" w:hAnsi="Arial" w:cs="Arial"/>
          <w:color w:val="000000" w:themeColor="text1"/>
        </w:rPr>
        <w:t xml:space="preserve"> and income groups</w:t>
      </w:r>
      <w:r w:rsidR="00DE0834">
        <w:rPr>
          <w:rFonts w:ascii="Arial" w:hAnsi="Arial" w:cs="Arial"/>
          <w:color w:val="000000" w:themeColor="text1"/>
        </w:rPr>
        <w:t xml:space="preserve"> fall within </w:t>
      </w:r>
      <w:r w:rsidR="00F144C1">
        <w:rPr>
          <w:rFonts w:ascii="Arial" w:hAnsi="Arial" w:cs="Arial"/>
          <w:color w:val="000000" w:themeColor="text1"/>
        </w:rPr>
        <w:t>affordable housing.</w:t>
      </w:r>
      <w:r w:rsidR="00E46912">
        <w:rPr>
          <w:rFonts w:ascii="Arial" w:hAnsi="Arial" w:cs="Arial"/>
          <w:color w:val="000000" w:themeColor="text1"/>
        </w:rPr>
        <w:t xml:space="preserve"> </w:t>
      </w:r>
    </w:p>
    <w:p w:rsidR="00E46912" w:rsidRPr="00C94627" w:rsidRDefault="00E46912" w:rsidP="00C94627">
      <w:pPr>
        <w:spacing w:after="0" w:line="240" w:lineRule="auto"/>
        <w:jc w:val="both"/>
        <w:rPr>
          <w:rFonts w:ascii="Arial" w:hAnsi="Arial" w:cs="Arial"/>
          <w:color w:val="000000" w:themeColor="text1"/>
        </w:rPr>
      </w:pPr>
    </w:p>
    <w:p w:rsidR="00E2265B" w:rsidRPr="00C94627" w:rsidRDefault="00E2265B" w:rsidP="00C94627">
      <w:pPr>
        <w:spacing w:after="0" w:line="240" w:lineRule="auto"/>
        <w:jc w:val="both"/>
        <w:rPr>
          <w:rFonts w:ascii="Arial" w:hAnsi="Arial" w:cs="Arial"/>
        </w:rPr>
      </w:pPr>
    </w:p>
    <w:p w:rsidR="00D474E0" w:rsidRPr="00703520" w:rsidRDefault="006C4107" w:rsidP="00C94627">
      <w:pPr>
        <w:spacing w:after="0" w:line="240" w:lineRule="auto"/>
        <w:jc w:val="both"/>
        <w:rPr>
          <w:rFonts w:ascii="Arial" w:hAnsi="Arial" w:cs="Arial"/>
          <w:b/>
          <w:color w:val="76923C" w:themeColor="accent3" w:themeShade="BF"/>
        </w:rPr>
      </w:pPr>
      <w:r w:rsidRPr="006C4107">
        <w:rPr>
          <w:rFonts w:ascii="Arial" w:hAnsi="Arial" w:cs="Arial"/>
          <w:b/>
          <w:color w:val="76923C" w:themeColor="accent3" w:themeShade="BF"/>
        </w:rPr>
        <w:t>Measuring the impact of housing affordability in Hobsons Bay</w:t>
      </w:r>
    </w:p>
    <w:p w:rsidR="008D377F" w:rsidRPr="00C94627" w:rsidRDefault="008D377F" w:rsidP="00A31D01">
      <w:pPr>
        <w:spacing w:before="120" w:after="0" w:line="240" w:lineRule="auto"/>
        <w:jc w:val="both"/>
        <w:rPr>
          <w:rFonts w:ascii="Arial" w:eastAsia="Times New Roman" w:hAnsi="Arial" w:cs="Arial"/>
          <w:lang w:eastAsia="en-AU"/>
        </w:rPr>
      </w:pPr>
      <w:r w:rsidRPr="00C94627">
        <w:rPr>
          <w:rFonts w:ascii="Arial" w:eastAsia="Times New Roman" w:hAnsi="Arial" w:cs="Arial"/>
          <w:lang w:eastAsia="en-AU"/>
        </w:rPr>
        <w:t xml:space="preserve">The extent of the affordable housing </w:t>
      </w:r>
      <w:r w:rsidR="000F6BC6" w:rsidRPr="00C94627">
        <w:rPr>
          <w:rFonts w:ascii="Arial" w:eastAsia="Times New Roman" w:hAnsi="Arial" w:cs="Arial"/>
          <w:lang w:eastAsia="en-AU"/>
        </w:rPr>
        <w:t xml:space="preserve">shortage for low income households </w:t>
      </w:r>
      <w:r w:rsidRPr="00C94627">
        <w:rPr>
          <w:rFonts w:ascii="Arial" w:eastAsia="Times New Roman" w:hAnsi="Arial" w:cs="Arial"/>
          <w:lang w:eastAsia="en-AU"/>
        </w:rPr>
        <w:t>in Hobsons Bay is highlighted by Victorian Government</w:t>
      </w:r>
      <w:r w:rsidR="000F6BC6" w:rsidRPr="00C94627">
        <w:rPr>
          <w:rFonts w:ascii="Arial" w:eastAsia="Times New Roman" w:hAnsi="Arial" w:cs="Arial"/>
          <w:lang w:eastAsia="en-AU"/>
        </w:rPr>
        <w:t xml:space="preserve"> data</w:t>
      </w:r>
      <w:r w:rsidRPr="00C94627">
        <w:rPr>
          <w:rFonts w:ascii="Arial" w:eastAsia="Times New Roman" w:hAnsi="Arial" w:cs="Arial"/>
          <w:lang w:eastAsia="en-AU"/>
        </w:rPr>
        <w:t xml:space="preserve">. The Department of Human Services releases quarterly data on new rental properties that are affordable for low income households. The graph below shows that over the preceding decade to 2012, there was a dramatic fall in </w:t>
      </w:r>
      <w:r w:rsidR="00703520">
        <w:rPr>
          <w:rFonts w:ascii="Arial" w:eastAsia="Times New Roman" w:hAnsi="Arial" w:cs="Arial"/>
          <w:lang w:eastAsia="en-AU"/>
        </w:rPr>
        <w:t xml:space="preserve">the </w:t>
      </w:r>
      <w:r w:rsidRPr="00C94627">
        <w:rPr>
          <w:rFonts w:ascii="Arial" w:eastAsia="Times New Roman" w:hAnsi="Arial" w:cs="Arial"/>
          <w:lang w:eastAsia="en-AU"/>
        </w:rPr>
        <w:t xml:space="preserve">percentage of new rental properties that were affordable.  In 2002, the Rental Reports showed that 32 per cent (179 dwellings) were considered affordable. By 2012, this figure had dropped to 9 per cent (53 properties). </w:t>
      </w:r>
    </w:p>
    <w:p w:rsidR="000406F4" w:rsidRDefault="008D377F">
      <w:pPr>
        <w:spacing w:after="0" w:line="240" w:lineRule="auto"/>
        <w:jc w:val="center"/>
        <w:rPr>
          <w:rFonts w:ascii="Arial" w:hAnsi="Arial" w:cs="Arial"/>
        </w:rPr>
      </w:pPr>
      <w:r w:rsidRPr="00C94627">
        <w:rPr>
          <w:rFonts w:ascii="Arial" w:hAnsi="Arial" w:cs="Arial"/>
          <w:noProof/>
          <w:lang w:eastAsia="en-AU"/>
        </w:rPr>
        <w:lastRenderedPageBreak/>
        <w:drawing>
          <wp:inline distT="0" distB="0" distL="0" distR="0">
            <wp:extent cx="4503420" cy="2781300"/>
            <wp:effectExtent l="0" t="0" r="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D377F" w:rsidRPr="00C94627" w:rsidRDefault="008D377F" w:rsidP="00C94627">
      <w:pPr>
        <w:spacing w:after="0" w:line="240" w:lineRule="auto"/>
        <w:jc w:val="both"/>
        <w:rPr>
          <w:rFonts w:ascii="Arial" w:hAnsi="Arial" w:cs="Arial"/>
        </w:rPr>
      </w:pPr>
      <w:r w:rsidRPr="00C94627">
        <w:rPr>
          <w:rFonts w:ascii="Arial" w:hAnsi="Arial" w:cs="Arial"/>
        </w:rPr>
        <w:t xml:space="preserve">Data commissioned by the Council </w:t>
      </w:r>
      <w:r w:rsidR="000F6BC6" w:rsidRPr="00C94627">
        <w:rPr>
          <w:rFonts w:ascii="Arial" w:hAnsi="Arial" w:cs="Arial"/>
        </w:rPr>
        <w:t xml:space="preserve">also </w:t>
      </w:r>
      <w:r w:rsidRPr="00C94627">
        <w:rPr>
          <w:rFonts w:ascii="Arial" w:hAnsi="Arial" w:cs="Arial"/>
        </w:rPr>
        <w:t xml:space="preserve">shows that at the most recent Census in 2011, 9.6 per cent of low income households </w:t>
      </w:r>
      <w:r w:rsidR="000F6BC6" w:rsidRPr="00C94627">
        <w:rPr>
          <w:rFonts w:ascii="Arial" w:hAnsi="Arial" w:cs="Arial"/>
        </w:rPr>
        <w:t xml:space="preserve">in the </w:t>
      </w:r>
      <w:r w:rsidR="00780EAF">
        <w:rPr>
          <w:rFonts w:ascii="Arial" w:hAnsi="Arial" w:cs="Arial"/>
        </w:rPr>
        <w:t xml:space="preserve">Hobsons Bay </w:t>
      </w:r>
      <w:r w:rsidR="00703520">
        <w:rPr>
          <w:rFonts w:ascii="Arial" w:hAnsi="Arial" w:cs="Arial"/>
        </w:rPr>
        <w:t>municipality</w:t>
      </w:r>
      <w:r w:rsidR="00703520" w:rsidRPr="00C94627">
        <w:rPr>
          <w:rFonts w:ascii="Arial" w:hAnsi="Arial" w:cs="Arial"/>
        </w:rPr>
        <w:t xml:space="preserve"> </w:t>
      </w:r>
      <w:r w:rsidRPr="00C94627">
        <w:rPr>
          <w:rFonts w:ascii="Arial" w:hAnsi="Arial" w:cs="Arial"/>
        </w:rPr>
        <w:t>were in housing stress (based on the N</w:t>
      </w:r>
      <w:r w:rsidR="000F6BC6" w:rsidRPr="00C94627">
        <w:rPr>
          <w:rFonts w:ascii="Arial" w:hAnsi="Arial" w:cs="Arial"/>
        </w:rPr>
        <w:t>ATSEM</w:t>
      </w:r>
      <w:r w:rsidRPr="00C94627">
        <w:rPr>
          <w:rFonts w:ascii="Arial" w:hAnsi="Arial" w:cs="Arial"/>
        </w:rPr>
        <w:t xml:space="preserve"> model). In the most disadvantaged neighbourhood of Laverton, this figure increased to </w:t>
      </w:r>
      <w:r w:rsidR="00E33301" w:rsidRPr="00C94627">
        <w:rPr>
          <w:rFonts w:ascii="Arial" w:hAnsi="Arial" w:cs="Arial"/>
        </w:rPr>
        <w:t xml:space="preserve">15.5 per cent. A review of low income renting households </w:t>
      </w:r>
      <w:r w:rsidR="000F6BC6" w:rsidRPr="00C94627">
        <w:rPr>
          <w:rFonts w:ascii="Arial" w:hAnsi="Arial" w:cs="Arial"/>
        </w:rPr>
        <w:t>showed that</w:t>
      </w:r>
      <w:r w:rsidR="00E33301" w:rsidRPr="00C94627">
        <w:rPr>
          <w:rFonts w:ascii="Arial" w:hAnsi="Arial" w:cs="Arial"/>
        </w:rPr>
        <w:t xml:space="preserve"> </w:t>
      </w:r>
      <w:r w:rsidR="000F6BC6" w:rsidRPr="00C94627">
        <w:rPr>
          <w:rFonts w:ascii="Arial" w:hAnsi="Arial" w:cs="Arial"/>
        </w:rPr>
        <w:t>they</w:t>
      </w:r>
      <w:r w:rsidR="00E33301" w:rsidRPr="00C94627">
        <w:rPr>
          <w:rFonts w:ascii="Arial" w:hAnsi="Arial" w:cs="Arial"/>
        </w:rPr>
        <w:t xml:space="preserve"> were </w:t>
      </w:r>
      <w:r w:rsidR="00F144C1">
        <w:rPr>
          <w:rFonts w:ascii="Arial" w:hAnsi="Arial" w:cs="Arial"/>
        </w:rPr>
        <w:t xml:space="preserve">further affected by housing stress than home owners, with </w:t>
      </w:r>
      <w:r w:rsidR="00E33301" w:rsidRPr="00C94627">
        <w:rPr>
          <w:rFonts w:ascii="Arial" w:hAnsi="Arial" w:cs="Arial"/>
        </w:rPr>
        <w:t xml:space="preserve">22.5 per cent </w:t>
      </w:r>
      <w:r w:rsidR="00F144C1">
        <w:rPr>
          <w:rFonts w:ascii="Arial" w:hAnsi="Arial" w:cs="Arial"/>
        </w:rPr>
        <w:t>of renting household in Hobsons Bay experiencing housing stress.  A</w:t>
      </w:r>
      <w:r w:rsidR="00E33301" w:rsidRPr="00C94627">
        <w:rPr>
          <w:rFonts w:ascii="Arial" w:hAnsi="Arial" w:cs="Arial"/>
        </w:rPr>
        <w:t>gain Laverton had the largest proportion</w:t>
      </w:r>
      <w:r w:rsidR="000F6BC6" w:rsidRPr="00C94627">
        <w:rPr>
          <w:rFonts w:ascii="Arial" w:hAnsi="Arial" w:cs="Arial"/>
        </w:rPr>
        <w:t xml:space="preserve"> compared to other parts of the municipality</w:t>
      </w:r>
      <w:r w:rsidR="00E33301" w:rsidRPr="00C94627">
        <w:rPr>
          <w:rFonts w:ascii="Arial" w:hAnsi="Arial" w:cs="Arial"/>
        </w:rPr>
        <w:t xml:space="preserve"> with 28.2 per cent affected.</w:t>
      </w:r>
      <w:r w:rsidR="007B56E6" w:rsidRPr="00C94627">
        <w:rPr>
          <w:rFonts w:ascii="Arial" w:hAnsi="Arial" w:cs="Arial"/>
        </w:rPr>
        <w:t xml:space="preserve"> </w:t>
      </w:r>
    </w:p>
    <w:p w:rsidR="007B56E6" w:rsidRPr="00C94627" w:rsidRDefault="007B56E6" w:rsidP="00C94627">
      <w:pPr>
        <w:spacing w:after="0" w:line="240" w:lineRule="auto"/>
        <w:jc w:val="both"/>
        <w:rPr>
          <w:rFonts w:ascii="Arial" w:hAnsi="Arial" w:cs="Arial"/>
        </w:rPr>
      </w:pPr>
    </w:p>
    <w:p w:rsidR="007B56E6" w:rsidRDefault="000F6BC6" w:rsidP="00C94627">
      <w:pPr>
        <w:spacing w:after="0" w:line="240" w:lineRule="auto"/>
        <w:jc w:val="both"/>
        <w:rPr>
          <w:rFonts w:ascii="Arial" w:hAnsi="Arial" w:cs="Arial"/>
        </w:rPr>
      </w:pPr>
      <w:r w:rsidRPr="00C94627">
        <w:rPr>
          <w:rFonts w:ascii="Arial" w:hAnsi="Arial" w:cs="Arial"/>
        </w:rPr>
        <w:t>For those on low and moderate incomes</w:t>
      </w:r>
      <w:r w:rsidR="007B56E6" w:rsidRPr="00C94627">
        <w:rPr>
          <w:rFonts w:ascii="Arial" w:hAnsi="Arial" w:cs="Arial"/>
        </w:rPr>
        <w:t xml:space="preserve">, the rental market has been very tight </w:t>
      </w:r>
      <w:r w:rsidRPr="00C94627">
        <w:rPr>
          <w:rFonts w:ascii="Arial" w:hAnsi="Arial" w:cs="Arial"/>
        </w:rPr>
        <w:t>although</w:t>
      </w:r>
      <w:r w:rsidR="007B56E6" w:rsidRPr="00C94627">
        <w:rPr>
          <w:rFonts w:ascii="Arial" w:hAnsi="Arial" w:cs="Arial"/>
        </w:rPr>
        <w:t xml:space="preserve"> according to the latest information from the Real Estate Institute of Victoria (REIV)</w:t>
      </w:r>
      <w:r w:rsidR="007B56E6" w:rsidRPr="00C94627">
        <w:rPr>
          <w:rStyle w:val="FootnoteReference"/>
          <w:rFonts w:ascii="Arial" w:hAnsi="Arial" w:cs="Arial"/>
        </w:rPr>
        <w:footnoteReference w:id="2"/>
      </w:r>
      <w:r w:rsidR="007B56E6" w:rsidRPr="00C94627">
        <w:rPr>
          <w:rFonts w:ascii="Arial" w:hAnsi="Arial" w:cs="Arial"/>
        </w:rPr>
        <w:t xml:space="preserve">, there has been an improvement in the vacancy rate. In January 2014, the </w:t>
      </w:r>
      <w:r w:rsidRPr="00C94627">
        <w:rPr>
          <w:rFonts w:ascii="Arial" w:hAnsi="Arial" w:cs="Arial"/>
        </w:rPr>
        <w:t xml:space="preserve">metro </w:t>
      </w:r>
      <w:r w:rsidR="007B56E6" w:rsidRPr="00C94627">
        <w:rPr>
          <w:rFonts w:ascii="Arial" w:hAnsi="Arial" w:cs="Arial"/>
        </w:rPr>
        <w:t xml:space="preserve">Melbourne vacancy rate was </w:t>
      </w:r>
      <w:r w:rsidR="005D3203">
        <w:rPr>
          <w:rFonts w:ascii="Arial" w:hAnsi="Arial" w:cs="Arial"/>
        </w:rPr>
        <w:t>three</w:t>
      </w:r>
      <w:r w:rsidR="007B56E6" w:rsidRPr="00C94627">
        <w:rPr>
          <w:rFonts w:ascii="Arial" w:hAnsi="Arial" w:cs="Arial"/>
        </w:rPr>
        <w:t xml:space="preserve"> per cent. However, while supply has improved the median rent</w:t>
      </w:r>
      <w:r w:rsidR="005543E5">
        <w:rPr>
          <w:rFonts w:ascii="Arial" w:hAnsi="Arial" w:cs="Arial"/>
        </w:rPr>
        <w:t>al price</w:t>
      </w:r>
      <w:r w:rsidR="007B56E6" w:rsidRPr="00C94627">
        <w:rPr>
          <w:rFonts w:ascii="Arial" w:hAnsi="Arial" w:cs="Arial"/>
        </w:rPr>
        <w:t xml:space="preserve"> for a house in Melbourne was $400 per week, an increase of 2.2 per cent from the previous month and out of the reach of </w:t>
      </w:r>
      <w:r w:rsidRPr="00C94627">
        <w:rPr>
          <w:rFonts w:ascii="Arial" w:hAnsi="Arial" w:cs="Arial"/>
        </w:rPr>
        <w:t xml:space="preserve">many moderate income households and </w:t>
      </w:r>
      <w:r w:rsidR="007B56E6" w:rsidRPr="00C94627">
        <w:rPr>
          <w:rFonts w:ascii="Arial" w:hAnsi="Arial" w:cs="Arial"/>
        </w:rPr>
        <w:t xml:space="preserve">most low income households. </w:t>
      </w:r>
    </w:p>
    <w:p w:rsidR="00E46912" w:rsidRDefault="00E46912" w:rsidP="00C94627">
      <w:pPr>
        <w:spacing w:after="0" w:line="240" w:lineRule="auto"/>
        <w:jc w:val="both"/>
        <w:rPr>
          <w:rFonts w:ascii="Arial" w:hAnsi="Arial" w:cs="Arial"/>
        </w:rPr>
      </w:pPr>
    </w:p>
    <w:p w:rsidR="00E46912" w:rsidRPr="00C94627" w:rsidRDefault="006C4107" w:rsidP="00C94627">
      <w:pPr>
        <w:spacing w:after="0" w:line="240" w:lineRule="auto"/>
        <w:jc w:val="both"/>
        <w:rPr>
          <w:rFonts w:ascii="Arial" w:hAnsi="Arial" w:cs="Arial"/>
        </w:rPr>
      </w:pPr>
      <w:r w:rsidRPr="006C4107">
        <w:rPr>
          <w:rFonts w:ascii="Arial" w:hAnsi="Arial" w:cs="Arial"/>
          <w:b/>
        </w:rPr>
        <w:t>Recommendation</w:t>
      </w:r>
      <w:r w:rsidR="00780EAF">
        <w:rPr>
          <w:rFonts w:ascii="Arial" w:hAnsi="Arial" w:cs="Arial"/>
          <w:b/>
        </w:rPr>
        <w:t xml:space="preserve"> 2</w:t>
      </w:r>
      <w:r w:rsidR="00E46912">
        <w:rPr>
          <w:rFonts w:ascii="Arial" w:hAnsi="Arial" w:cs="Arial"/>
        </w:rPr>
        <w:t xml:space="preserve">:  </w:t>
      </w:r>
      <w:r w:rsidR="00780EAF">
        <w:rPr>
          <w:rFonts w:ascii="Arial" w:hAnsi="Arial" w:cs="Arial"/>
        </w:rPr>
        <w:t xml:space="preserve">Using the definition of affordability </w:t>
      </w:r>
      <w:r w:rsidR="0044492B">
        <w:rPr>
          <w:rFonts w:ascii="Arial" w:hAnsi="Arial" w:cs="Arial"/>
        </w:rPr>
        <w:t>outlined in Recommendation</w:t>
      </w:r>
      <w:r w:rsidR="00F144C1">
        <w:rPr>
          <w:rFonts w:ascii="Arial" w:hAnsi="Arial" w:cs="Arial"/>
        </w:rPr>
        <w:t xml:space="preserve"> </w:t>
      </w:r>
      <w:r w:rsidR="0044492B">
        <w:rPr>
          <w:rFonts w:ascii="Arial" w:hAnsi="Arial" w:cs="Arial"/>
        </w:rPr>
        <w:t>1</w:t>
      </w:r>
      <w:r w:rsidR="00780EAF">
        <w:rPr>
          <w:rFonts w:ascii="Arial" w:hAnsi="Arial" w:cs="Arial"/>
        </w:rPr>
        <w:t xml:space="preserve">, identify the </w:t>
      </w:r>
      <w:r w:rsidR="00F144C1">
        <w:rPr>
          <w:rFonts w:ascii="Arial" w:hAnsi="Arial" w:cs="Arial"/>
        </w:rPr>
        <w:t>spectrum</w:t>
      </w:r>
      <w:r w:rsidR="00780EAF">
        <w:rPr>
          <w:rFonts w:ascii="Arial" w:hAnsi="Arial" w:cs="Arial"/>
        </w:rPr>
        <w:t xml:space="preserve"> of </w:t>
      </w:r>
      <w:r w:rsidR="00F144C1">
        <w:rPr>
          <w:rFonts w:ascii="Arial" w:hAnsi="Arial" w:cs="Arial"/>
        </w:rPr>
        <w:t xml:space="preserve">affordability and </w:t>
      </w:r>
      <w:r w:rsidR="00780EAF">
        <w:rPr>
          <w:rFonts w:ascii="Arial" w:hAnsi="Arial" w:cs="Arial"/>
        </w:rPr>
        <w:t xml:space="preserve">its impact in order to target a concerted response. </w:t>
      </w:r>
    </w:p>
    <w:p w:rsidR="008D377F" w:rsidRDefault="008D377F" w:rsidP="00C94627">
      <w:pPr>
        <w:spacing w:after="0" w:line="240" w:lineRule="auto"/>
        <w:jc w:val="both"/>
        <w:rPr>
          <w:rFonts w:ascii="Arial" w:hAnsi="Arial" w:cs="Arial"/>
        </w:rPr>
      </w:pPr>
    </w:p>
    <w:p w:rsidR="00E46912" w:rsidRPr="00C94627" w:rsidRDefault="00E46912" w:rsidP="00C94627">
      <w:pPr>
        <w:spacing w:after="0" w:line="240" w:lineRule="auto"/>
        <w:jc w:val="both"/>
        <w:rPr>
          <w:rFonts w:ascii="Arial" w:hAnsi="Arial" w:cs="Arial"/>
        </w:rPr>
      </w:pPr>
    </w:p>
    <w:p w:rsidR="004F72A7" w:rsidRPr="005543E5" w:rsidRDefault="006C4107" w:rsidP="00C94627">
      <w:pPr>
        <w:spacing w:after="0" w:line="240" w:lineRule="auto"/>
        <w:jc w:val="both"/>
        <w:rPr>
          <w:rFonts w:ascii="Arial" w:eastAsia="Times New Roman" w:hAnsi="Arial" w:cs="Arial"/>
          <w:b/>
          <w:color w:val="76923C" w:themeColor="accent3" w:themeShade="BF"/>
          <w:lang w:eastAsia="en-AU"/>
        </w:rPr>
      </w:pPr>
      <w:r w:rsidRPr="006C4107">
        <w:rPr>
          <w:rFonts w:ascii="Arial" w:eastAsia="Times New Roman" w:hAnsi="Arial" w:cs="Arial"/>
          <w:b/>
          <w:color w:val="76923C" w:themeColor="accent3" w:themeShade="BF"/>
          <w:lang w:eastAsia="en-AU"/>
        </w:rPr>
        <w:t>Facilitating the supply affordable housing</w:t>
      </w:r>
    </w:p>
    <w:p w:rsidR="0097018D" w:rsidRPr="00C94627" w:rsidRDefault="000F6BC6" w:rsidP="00A31D01">
      <w:pPr>
        <w:spacing w:before="120" w:after="0" w:line="240" w:lineRule="auto"/>
        <w:jc w:val="both"/>
        <w:rPr>
          <w:rFonts w:ascii="Arial" w:hAnsi="Arial" w:cs="Arial"/>
        </w:rPr>
      </w:pPr>
      <w:r w:rsidRPr="00C94627">
        <w:rPr>
          <w:rFonts w:ascii="Arial" w:hAnsi="Arial" w:cs="Arial"/>
        </w:rPr>
        <w:t xml:space="preserve">All tiers of government are, and should be, directly </w:t>
      </w:r>
      <w:r w:rsidR="002E3B9A" w:rsidRPr="00C94627">
        <w:rPr>
          <w:rFonts w:ascii="Arial" w:hAnsi="Arial" w:cs="Arial"/>
        </w:rPr>
        <w:t xml:space="preserve">involved in </w:t>
      </w:r>
      <w:r w:rsidR="004C57AC" w:rsidRPr="00C94627">
        <w:rPr>
          <w:rFonts w:ascii="Arial" w:hAnsi="Arial" w:cs="Arial"/>
        </w:rPr>
        <w:t>the</w:t>
      </w:r>
      <w:r w:rsidR="002E3B9A" w:rsidRPr="00C94627">
        <w:rPr>
          <w:rFonts w:ascii="Arial" w:hAnsi="Arial" w:cs="Arial"/>
        </w:rPr>
        <w:t xml:space="preserve"> deliver</w:t>
      </w:r>
      <w:r w:rsidR="004C57AC" w:rsidRPr="00C94627">
        <w:rPr>
          <w:rFonts w:ascii="Arial" w:hAnsi="Arial" w:cs="Arial"/>
        </w:rPr>
        <w:t>y of</w:t>
      </w:r>
      <w:r w:rsidRPr="00C94627">
        <w:rPr>
          <w:rFonts w:ascii="Arial" w:hAnsi="Arial" w:cs="Arial"/>
        </w:rPr>
        <w:t xml:space="preserve"> affordable housing. </w:t>
      </w:r>
      <w:r w:rsidR="002E3B9A" w:rsidRPr="00C94627">
        <w:rPr>
          <w:rFonts w:ascii="Arial" w:hAnsi="Arial" w:cs="Arial"/>
        </w:rPr>
        <w:t xml:space="preserve"> </w:t>
      </w:r>
      <w:r w:rsidR="00DD09A2" w:rsidRPr="00C94627">
        <w:rPr>
          <w:rFonts w:ascii="Arial" w:hAnsi="Arial" w:cs="Arial"/>
        </w:rPr>
        <w:t>C</w:t>
      </w:r>
      <w:r w:rsidR="004C57AC" w:rsidRPr="00C94627">
        <w:rPr>
          <w:rFonts w:ascii="Arial" w:hAnsi="Arial" w:cs="Arial"/>
        </w:rPr>
        <w:t>ommunity agencies and residential developers</w:t>
      </w:r>
      <w:r w:rsidR="00DD09A2" w:rsidRPr="00C94627">
        <w:rPr>
          <w:rFonts w:ascii="Arial" w:hAnsi="Arial" w:cs="Arial"/>
        </w:rPr>
        <w:t xml:space="preserve"> also have an important role</w:t>
      </w:r>
      <w:r w:rsidR="004C57AC" w:rsidRPr="00C94627">
        <w:rPr>
          <w:rFonts w:ascii="Arial" w:hAnsi="Arial" w:cs="Arial"/>
        </w:rPr>
        <w:t xml:space="preserve">. </w:t>
      </w:r>
      <w:r w:rsidR="0097018D" w:rsidRPr="00C94627">
        <w:rPr>
          <w:rFonts w:ascii="Arial" w:hAnsi="Arial" w:cs="Arial"/>
        </w:rPr>
        <w:t xml:space="preserve">Under the Victorian </w:t>
      </w:r>
      <w:r w:rsidR="0097018D" w:rsidRPr="00C94627">
        <w:rPr>
          <w:rFonts w:ascii="Arial" w:hAnsi="Arial" w:cs="Arial"/>
          <w:i/>
          <w:iCs/>
        </w:rPr>
        <w:t xml:space="preserve">Local Government Act 1989, </w:t>
      </w:r>
      <w:r w:rsidR="0097018D" w:rsidRPr="00C94627">
        <w:rPr>
          <w:rFonts w:ascii="Arial" w:hAnsi="Arial" w:cs="Arial"/>
        </w:rPr>
        <w:t>the role of local government in housing includes</w:t>
      </w:r>
      <w:r w:rsidR="0097018D" w:rsidRPr="00C94627">
        <w:rPr>
          <w:rStyle w:val="FootnoteReference"/>
          <w:rFonts w:ascii="Arial" w:hAnsi="Arial" w:cs="Arial"/>
        </w:rPr>
        <w:footnoteReference w:id="3"/>
      </w:r>
      <w:r w:rsidR="0097018D" w:rsidRPr="00C94627">
        <w:rPr>
          <w:rFonts w:ascii="Arial" w:hAnsi="Arial" w:cs="Arial"/>
        </w:rPr>
        <w:t xml:space="preserve">: </w:t>
      </w:r>
    </w:p>
    <w:p w:rsidR="0097018D" w:rsidRPr="00C94627" w:rsidRDefault="0097018D" w:rsidP="00C94627">
      <w:pPr>
        <w:numPr>
          <w:ilvl w:val="0"/>
          <w:numId w:val="4"/>
        </w:numPr>
        <w:spacing w:after="0" w:line="240" w:lineRule="auto"/>
        <w:jc w:val="both"/>
        <w:rPr>
          <w:rFonts w:ascii="Arial" w:eastAsia="Times New Roman" w:hAnsi="Arial" w:cs="Arial"/>
          <w:lang w:eastAsia="en-AU"/>
        </w:rPr>
      </w:pPr>
      <w:r w:rsidRPr="00C94627">
        <w:rPr>
          <w:rFonts w:ascii="Arial" w:eastAsia="Times New Roman" w:hAnsi="Arial" w:cs="Arial"/>
          <w:lang w:eastAsia="en-AU"/>
        </w:rPr>
        <w:t>Ensuring adequate planning for the f</w:t>
      </w:r>
      <w:r w:rsidR="00DD09A2" w:rsidRPr="00C94627">
        <w:rPr>
          <w:rFonts w:ascii="Arial" w:eastAsia="Times New Roman" w:hAnsi="Arial" w:cs="Arial"/>
          <w:lang w:eastAsia="en-AU"/>
        </w:rPr>
        <w:t>uture of the municipal district</w:t>
      </w:r>
      <w:r w:rsidR="00973D3E">
        <w:rPr>
          <w:rFonts w:ascii="Arial" w:eastAsia="Times New Roman" w:hAnsi="Arial" w:cs="Arial"/>
          <w:lang w:eastAsia="en-AU"/>
        </w:rPr>
        <w:t>;</w:t>
      </w:r>
      <w:r w:rsidRPr="00C94627">
        <w:rPr>
          <w:rFonts w:ascii="Arial" w:eastAsia="Times New Roman" w:hAnsi="Arial" w:cs="Arial"/>
          <w:lang w:eastAsia="en-AU"/>
        </w:rPr>
        <w:t xml:space="preserve"> </w:t>
      </w:r>
    </w:p>
    <w:p w:rsidR="0097018D" w:rsidRPr="00C94627" w:rsidRDefault="0097018D" w:rsidP="00C94627">
      <w:pPr>
        <w:numPr>
          <w:ilvl w:val="0"/>
          <w:numId w:val="4"/>
        </w:numPr>
        <w:spacing w:after="0" w:line="240" w:lineRule="auto"/>
        <w:jc w:val="both"/>
        <w:rPr>
          <w:rFonts w:ascii="Arial" w:eastAsia="Times New Roman" w:hAnsi="Arial" w:cs="Arial"/>
          <w:lang w:eastAsia="en-AU"/>
        </w:rPr>
      </w:pPr>
      <w:r w:rsidRPr="00C94627">
        <w:rPr>
          <w:rFonts w:ascii="Arial" w:eastAsia="Times New Roman" w:hAnsi="Arial" w:cs="Arial"/>
          <w:lang w:eastAsia="en-AU"/>
        </w:rPr>
        <w:t>Coordinating with other public bodies to ensure that services and facilities are provided and resources are us</w:t>
      </w:r>
      <w:r w:rsidR="00DD09A2" w:rsidRPr="00C94627">
        <w:rPr>
          <w:rFonts w:ascii="Arial" w:eastAsia="Times New Roman" w:hAnsi="Arial" w:cs="Arial"/>
          <w:lang w:eastAsia="en-AU"/>
        </w:rPr>
        <w:t>ed effectively and efficiently</w:t>
      </w:r>
      <w:r w:rsidR="00973D3E">
        <w:rPr>
          <w:rFonts w:ascii="Arial" w:eastAsia="Times New Roman" w:hAnsi="Arial" w:cs="Arial"/>
          <w:lang w:eastAsia="en-AU"/>
        </w:rPr>
        <w:t>;</w:t>
      </w:r>
    </w:p>
    <w:p w:rsidR="0097018D" w:rsidRPr="00C94627" w:rsidRDefault="0097018D" w:rsidP="00C94627">
      <w:pPr>
        <w:numPr>
          <w:ilvl w:val="0"/>
          <w:numId w:val="4"/>
        </w:numPr>
        <w:spacing w:after="0" w:line="240" w:lineRule="auto"/>
        <w:jc w:val="both"/>
        <w:rPr>
          <w:rFonts w:ascii="Arial" w:eastAsia="Times New Roman" w:hAnsi="Arial" w:cs="Arial"/>
          <w:lang w:eastAsia="en-AU"/>
        </w:rPr>
      </w:pPr>
      <w:r w:rsidRPr="00C94627">
        <w:rPr>
          <w:rFonts w:ascii="Arial" w:eastAsia="Times New Roman" w:hAnsi="Arial" w:cs="Arial"/>
          <w:lang w:eastAsia="en-AU"/>
        </w:rPr>
        <w:t>Representing and promot</w:t>
      </w:r>
      <w:r w:rsidR="005543E5">
        <w:rPr>
          <w:rFonts w:ascii="Arial" w:eastAsia="Times New Roman" w:hAnsi="Arial" w:cs="Arial"/>
          <w:lang w:eastAsia="en-AU"/>
        </w:rPr>
        <w:t>ing</w:t>
      </w:r>
      <w:r w:rsidRPr="00C94627">
        <w:rPr>
          <w:rFonts w:ascii="Arial" w:eastAsia="Times New Roman" w:hAnsi="Arial" w:cs="Arial"/>
          <w:lang w:eastAsia="en-AU"/>
        </w:rPr>
        <w:t xml:space="preserve"> the interests of the community and to be responsive to</w:t>
      </w:r>
      <w:r w:rsidR="00DD09A2" w:rsidRPr="00C94627">
        <w:rPr>
          <w:rFonts w:ascii="Arial" w:eastAsia="Times New Roman" w:hAnsi="Arial" w:cs="Arial"/>
          <w:lang w:eastAsia="en-AU"/>
        </w:rPr>
        <w:t xml:space="preserve"> the needs of the community</w:t>
      </w:r>
      <w:r w:rsidR="00973D3E">
        <w:rPr>
          <w:rFonts w:ascii="Arial" w:eastAsia="Times New Roman" w:hAnsi="Arial" w:cs="Arial"/>
          <w:lang w:eastAsia="en-AU"/>
        </w:rPr>
        <w:t>; and</w:t>
      </w:r>
    </w:p>
    <w:p w:rsidR="0097018D" w:rsidRPr="00C94627" w:rsidRDefault="0097018D" w:rsidP="00C94627">
      <w:pPr>
        <w:numPr>
          <w:ilvl w:val="0"/>
          <w:numId w:val="4"/>
        </w:numPr>
        <w:spacing w:after="0" w:line="240" w:lineRule="auto"/>
        <w:jc w:val="both"/>
        <w:rPr>
          <w:rFonts w:ascii="Arial" w:eastAsia="Times New Roman" w:hAnsi="Arial" w:cs="Arial"/>
          <w:lang w:eastAsia="en-AU"/>
        </w:rPr>
      </w:pPr>
      <w:r w:rsidRPr="00C94627">
        <w:rPr>
          <w:rFonts w:ascii="Arial" w:eastAsia="Times New Roman" w:hAnsi="Arial" w:cs="Arial"/>
          <w:lang w:eastAsia="en-AU"/>
        </w:rPr>
        <w:t xml:space="preserve">Raising funds for local purposes by the equitable imposition of rates and charges and by borrowing and </w:t>
      </w:r>
      <w:r w:rsidR="00DD09A2" w:rsidRPr="00C94627">
        <w:rPr>
          <w:rFonts w:ascii="Arial" w:eastAsia="Times New Roman" w:hAnsi="Arial" w:cs="Arial"/>
          <w:lang w:eastAsia="en-AU"/>
        </w:rPr>
        <w:t xml:space="preserve">obtaining </w:t>
      </w:r>
      <w:r w:rsidRPr="00C94627">
        <w:rPr>
          <w:rFonts w:ascii="Arial" w:eastAsia="Times New Roman" w:hAnsi="Arial" w:cs="Arial"/>
          <w:lang w:eastAsia="en-AU"/>
        </w:rPr>
        <w:t xml:space="preserve">grants. </w:t>
      </w:r>
    </w:p>
    <w:p w:rsidR="005543E5" w:rsidRDefault="005543E5" w:rsidP="00C94627">
      <w:pPr>
        <w:spacing w:after="0" w:line="240" w:lineRule="auto"/>
        <w:jc w:val="both"/>
        <w:rPr>
          <w:rFonts w:ascii="Arial" w:hAnsi="Arial" w:cs="Arial"/>
          <w:color w:val="000000" w:themeColor="text1"/>
        </w:rPr>
      </w:pPr>
    </w:p>
    <w:p w:rsidR="0085455D" w:rsidRPr="00C94627" w:rsidRDefault="0085455D" w:rsidP="00C94627">
      <w:pPr>
        <w:spacing w:after="0" w:line="240" w:lineRule="auto"/>
        <w:jc w:val="both"/>
        <w:rPr>
          <w:rFonts w:ascii="Arial" w:hAnsi="Arial" w:cs="Arial"/>
        </w:rPr>
      </w:pPr>
      <w:r w:rsidRPr="00C94627">
        <w:rPr>
          <w:rFonts w:ascii="Arial" w:hAnsi="Arial" w:cs="Arial"/>
          <w:color w:val="000000" w:themeColor="text1"/>
        </w:rPr>
        <w:t xml:space="preserve">Councils have a number of </w:t>
      </w:r>
      <w:r w:rsidR="0097018D" w:rsidRPr="00C94627">
        <w:rPr>
          <w:rFonts w:ascii="Arial" w:hAnsi="Arial" w:cs="Arial"/>
          <w:color w:val="000000" w:themeColor="text1"/>
        </w:rPr>
        <w:t xml:space="preserve">direct and indirect </w:t>
      </w:r>
      <w:r w:rsidR="008D497C" w:rsidRPr="00C94627">
        <w:rPr>
          <w:rFonts w:ascii="Arial" w:hAnsi="Arial" w:cs="Arial"/>
          <w:color w:val="000000" w:themeColor="text1"/>
        </w:rPr>
        <w:t>levers</w:t>
      </w:r>
      <w:r w:rsidRPr="00C94627">
        <w:rPr>
          <w:rFonts w:ascii="Arial" w:hAnsi="Arial" w:cs="Arial"/>
          <w:color w:val="000000" w:themeColor="text1"/>
        </w:rPr>
        <w:t xml:space="preserve"> </w:t>
      </w:r>
      <w:r w:rsidR="005543E5">
        <w:rPr>
          <w:rFonts w:ascii="Arial" w:hAnsi="Arial" w:cs="Arial"/>
          <w:color w:val="000000" w:themeColor="text1"/>
        </w:rPr>
        <w:t>which</w:t>
      </w:r>
      <w:r w:rsidR="005543E5" w:rsidRPr="00C94627">
        <w:rPr>
          <w:rFonts w:ascii="Arial" w:hAnsi="Arial" w:cs="Arial"/>
          <w:color w:val="000000" w:themeColor="text1"/>
        </w:rPr>
        <w:t xml:space="preserve"> </w:t>
      </w:r>
      <w:r w:rsidR="00DD09A2" w:rsidRPr="00C94627">
        <w:rPr>
          <w:rFonts w:ascii="Arial" w:hAnsi="Arial" w:cs="Arial"/>
          <w:color w:val="000000" w:themeColor="text1"/>
        </w:rPr>
        <w:t>can</w:t>
      </w:r>
      <w:r w:rsidR="005543E5">
        <w:rPr>
          <w:rFonts w:ascii="Arial" w:hAnsi="Arial" w:cs="Arial"/>
          <w:color w:val="000000" w:themeColor="text1"/>
        </w:rPr>
        <w:t xml:space="preserve"> aid in</w:t>
      </w:r>
      <w:r w:rsidR="00DD09A2" w:rsidRPr="00C94627">
        <w:rPr>
          <w:rFonts w:ascii="Arial" w:hAnsi="Arial" w:cs="Arial"/>
          <w:color w:val="000000" w:themeColor="text1"/>
        </w:rPr>
        <w:t xml:space="preserve"> </w:t>
      </w:r>
      <w:r w:rsidRPr="00C94627">
        <w:rPr>
          <w:rFonts w:ascii="Arial" w:hAnsi="Arial" w:cs="Arial"/>
          <w:color w:val="000000" w:themeColor="text1"/>
        </w:rPr>
        <w:t>influenc</w:t>
      </w:r>
      <w:r w:rsidR="005543E5">
        <w:rPr>
          <w:rFonts w:ascii="Arial" w:hAnsi="Arial" w:cs="Arial"/>
          <w:color w:val="000000" w:themeColor="text1"/>
        </w:rPr>
        <w:t>ing</w:t>
      </w:r>
      <w:r w:rsidRPr="00C94627">
        <w:rPr>
          <w:rFonts w:ascii="Arial" w:hAnsi="Arial" w:cs="Arial"/>
          <w:color w:val="000000" w:themeColor="text1"/>
        </w:rPr>
        <w:t xml:space="preserve"> th</w:t>
      </w:r>
      <w:r w:rsidR="00DD09A2" w:rsidRPr="00C94627">
        <w:rPr>
          <w:rFonts w:ascii="Arial" w:hAnsi="Arial" w:cs="Arial"/>
          <w:color w:val="000000" w:themeColor="text1"/>
        </w:rPr>
        <w:t xml:space="preserve">e supply of affordable housing. This </w:t>
      </w:r>
      <w:r w:rsidR="00210255">
        <w:rPr>
          <w:rFonts w:ascii="Arial" w:hAnsi="Arial" w:cs="Arial"/>
          <w:color w:val="000000" w:themeColor="text1"/>
        </w:rPr>
        <w:t>includes:</w:t>
      </w:r>
    </w:p>
    <w:p w:rsidR="00210255" w:rsidRDefault="00210255" w:rsidP="00C94627">
      <w:pPr>
        <w:pStyle w:val="ListParagraph"/>
        <w:numPr>
          <w:ilvl w:val="0"/>
          <w:numId w:val="4"/>
        </w:numPr>
        <w:spacing w:after="0" w:line="240" w:lineRule="auto"/>
        <w:jc w:val="both"/>
        <w:rPr>
          <w:rFonts w:ascii="Arial" w:hAnsi="Arial" w:cs="Arial"/>
        </w:rPr>
      </w:pPr>
      <w:r>
        <w:rPr>
          <w:rFonts w:ascii="Arial" w:hAnsi="Arial" w:cs="Arial"/>
        </w:rPr>
        <w:t>Encouraging the use of Environmental Sustainable Design to minimise the cost of maintenance and utilities</w:t>
      </w:r>
      <w:r w:rsidR="00973D3E">
        <w:rPr>
          <w:rFonts w:ascii="Arial" w:hAnsi="Arial" w:cs="Arial"/>
        </w:rPr>
        <w:t>;</w:t>
      </w:r>
    </w:p>
    <w:p w:rsidR="00210255" w:rsidRPr="00210255" w:rsidRDefault="00210255" w:rsidP="00210255">
      <w:pPr>
        <w:pStyle w:val="ListParagraph"/>
        <w:numPr>
          <w:ilvl w:val="0"/>
          <w:numId w:val="4"/>
        </w:numPr>
        <w:spacing w:after="0" w:line="240" w:lineRule="auto"/>
        <w:jc w:val="both"/>
        <w:rPr>
          <w:rFonts w:ascii="Arial" w:hAnsi="Arial" w:cs="Arial"/>
        </w:rPr>
      </w:pPr>
      <w:r>
        <w:rPr>
          <w:rFonts w:ascii="Arial" w:hAnsi="Arial" w:cs="Arial"/>
        </w:rPr>
        <w:t>Encouraging the use of Universal Design to ensuring housing caters for all ages</w:t>
      </w:r>
      <w:r w:rsidR="00C63FD4">
        <w:rPr>
          <w:rFonts w:ascii="Arial" w:hAnsi="Arial" w:cs="Arial"/>
        </w:rPr>
        <w:t>,</w:t>
      </w:r>
      <w:r>
        <w:rPr>
          <w:rFonts w:ascii="Arial" w:hAnsi="Arial" w:cs="Arial"/>
        </w:rPr>
        <w:t xml:space="preserve"> abilities</w:t>
      </w:r>
      <w:r w:rsidR="00C63FD4">
        <w:rPr>
          <w:rFonts w:ascii="Arial" w:hAnsi="Arial" w:cs="Arial"/>
        </w:rPr>
        <w:t xml:space="preserve"> and life circumstances, particularly </w:t>
      </w:r>
      <w:r>
        <w:rPr>
          <w:rFonts w:ascii="Arial" w:hAnsi="Arial" w:cs="Arial"/>
        </w:rPr>
        <w:t>people with disabilities</w:t>
      </w:r>
      <w:r w:rsidR="00034CC3">
        <w:rPr>
          <w:rFonts w:ascii="Arial" w:hAnsi="Arial" w:cs="Arial"/>
        </w:rPr>
        <w:t xml:space="preserve">, </w:t>
      </w:r>
      <w:r w:rsidR="00C63FD4">
        <w:rPr>
          <w:rFonts w:ascii="Arial" w:hAnsi="Arial" w:cs="Arial"/>
        </w:rPr>
        <w:t>older members of the community</w:t>
      </w:r>
      <w:r w:rsidR="00034CC3">
        <w:rPr>
          <w:rFonts w:ascii="Arial" w:hAnsi="Arial" w:cs="Arial"/>
        </w:rPr>
        <w:t xml:space="preserve"> and those affected by family violence</w:t>
      </w:r>
      <w:r w:rsidR="00973D3E">
        <w:rPr>
          <w:rFonts w:ascii="Arial" w:hAnsi="Arial" w:cs="Arial"/>
        </w:rPr>
        <w:t>;</w:t>
      </w:r>
    </w:p>
    <w:p w:rsidR="00210255" w:rsidRDefault="0097018D" w:rsidP="00C94627">
      <w:pPr>
        <w:pStyle w:val="ListParagraph"/>
        <w:numPr>
          <w:ilvl w:val="0"/>
          <w:numId w:val="4"/>
        </w:numPr>
        <w:spacing w:after="0" w:line="240" w:lineRule="auto"/>
        <w:jc w:val="both"/>
        <w:rPr>
          <w:rFonts w:ascii="Arial" w:hAnsi="Arial" w:cs="Arial"/>
        </w:rPr>
      </w:pPr>
      <w:r w:rsidRPr="00C94627">
        <w:rPr>
          <w:rFonts w:ascii="Arial" w:hAnsi="Arial" w:cs="Arial"/>
        </w:rPr>
        <w:t xml:space="preserve">Influencing </w:t>
      </w:r>
      <w:r w:rsidR="00210255">
        <w:rPr>
          <w:rFonts w:ascii="Arial" w:hAnsi="Arial" w:cs="Arial"/>
        </w:rPr>
        <w:t>diversity and density of housing across the municipality through zones</w:t>
      </w:r>
      <w:r w:rsidR="00973D3E">
        <w:rPr>
          <w:rFonts w:ascii="Arial" w:hAnsi="Arial" w:cs="Arial"/>
        </w:rPr>
        <w:t>;</w:t>
      </w:r>
    </w:p>
    <w:p w:rsidR="0097018D" w:rsidRPr="00C94627" w:rsidRDefault="00210255" w:rsidP="00C94627">
      <w:pPr>
        <w:pStyle w:val="ListParagraph"/>
        <w:numPr>
          <w:ilvl w:val="0"/>
          <w:numId w:val="4"/>
        </w:numPr>
        <w:spacing w:after="0" w:line="240" w:lineRule="auto"/>
        <w:jc w:val="both"/>
        <w:rPr>
          <w:rFonts w:ascii="Arial" w:hAnsi="Arial" w:cs="Arial"/>
        </w:rPr>
      </w:pPr>
      <w:r>
        <w:rPr>
          <w:rFonts w:ascii="Arial" w:hAnsi="Arial" w:cs="Arial"/>
        </w:rPr>
        <w:t xml:space="preserve">Influencing </w:t>
      </w:r>
      <w:r w:rsidR="0097018D" w:rsidRPr="00C94627">
        <w:rPr>
          <w:rFonts w:ascii="Arial" w:hAnsi="Arial" w:cs="Arial"/>
        </w:rPr>
        <w:t>the location and/or type of housing through the planning system</w:t>
      </w:r>
      <w:r w:rsidR="00973D3E">
        <w:rPr>
          <w:rFonts w:ascii="Arial" w:hAnsi="Arial" w:cs="Arial"/>
        </w:rPr>
        <w:t>;</w:t>
      </w:r>
    </w:p>
    <w:p w:rsidR="0085455D" w:rsidRPr="00C94627" w:rsidRDefault="0085455D" w:rsidP="00C94627">
      <w:pPr>
        <w:numPr>
          <w:ilvl w:val="0"/>
          <w:numId w:val="4"/>
        </w:numPr>
        <w:spacing w:after="0" w:line="240" w:lineRule="auto"/>
        <w:jc w:val="both"/>
        <w:rPr>
          <w:rFonts w:ascii="Arial" w:hAnsi="Arial" w:cs="Arial"/>
          <w:color w:val="000000" w:themeColor="text1"/>
        </w:rPr>
      </w:pPr>
      <w:r w:rsidRPr="00C94627">
        <w:rPr>
          <w:rFonts w:ascii="Arial" w:hAnsi="Arial" w:cs="Arial"/>
          <w:color w:val="000000" w:themeColor="text1"/>
        </w:rPr>
        <w:t>Identifying surplus or under-utilised land (e.g. car parks, railway land, airspace)</w:t>
      </w:r>
      <w:r w:rsidR="00210255">
        <w:rPr>
          <w:rFonts w:ascii="Arial" w:hAnsi="Arial" w:cs="Arial"/>
          <w:color w:val="000000" w:themeColor="text1"/>
        </w:rPr>
        <w:t xml:space="preserve"> which could be used for affordable housing</w:t>
      </w:r>
      <w:r w:rsidR="00973D3E">
        <w:rPr>
          <w:rFonts w:ascii="Arial" w:hAnsi="Arial" w:cs="Arial"/>
          <w:color w:val="000000" w:themeColor="text1"/>
        </w:rPr>
        <w:t>;</w:t>
      </w:r>
    </w:p>
    <w:p w:rsidR="0085455D" w:rsidRPr="00C94627" w:rsidRDefault="0085455D" w:rsidP="00C94627">
      <w:pPr>
        <w:numPr>
          <w:ilvl w:val="0"/>
          <w:numId w:val="4"/>
        </w:numPr>
        <w:spacing w:after="0" w:line="240" w:lineRule="auto"/>
        <w:jc w:val="both"/>
        <w:rPr>
          <w:rFonts w:ascii="Arial" w:hAnsi="Arial" w:cs="Arial"/>
          <w:color w:val="000000" w:themeColor="text1"/>
        </w:rPr>
      </w:pPr>
      <w:r w:rsidRPr="00C94627">
        <w:rPr>
          <w:rFonts w:ascii="Arial" w:hAnsi="Arial" w:cs="Arial"/>
          <w:color w:val="000000" w:themeColor="text1"/>
        </w:rPr>
        <w:t>Granting rate concessions or parking dispens</w:t>
      </w:r>
      <w:r w:rsidR="00DD1F09" w:rsidRPr="00C94627">
        <w:rPr>
          <w:rFonts w:ascii="Arial" w:hAnsi="Arial" w:cs="Arial"/>
          <w:color w:val="000000" w:themeColor="text1"/>
        </w:rPr>
        <w:t>ations for certain developments</w:t>
      </w:r>
      <w:r w:rsidR="00973D3E">
        <w:rPr>
          <w:rFonts w:ascii="Arial" w:hAnsi="Arial" w:cs="Arial"/>
          <w:color w:val="000000" w:themeColor="text1"/>
        </w:rPr>
        <w:t>;</w:t>
      </w:r>
    </w:p>
    <w:p w:rsidR="0085455D" w:rsidRPr="00C94627" w:rsidRDefault="0085455D" w:rsidP="00C94627">
      <w:pPr>
        <w:numPr>
          <w:ilvl w:val="0"/>
          <w:numId w:val="4"/>
        </w:numPr>
        <w:spacing w:after="0" w:line="240" w:lineRule="auto"/>
        <w:jc w:val="both"/>
        <w:rPr>
          <w:rFonts w:ascii="Arial" w:hAnsi="Arial" w:cs="Arial"/>
          <w:color w:val="000000" w:themeColor="text1"/>
        </w:rPr>
      </w:pPr>
      <w:r w:rsidRPr="00C94627">
        <w:rPr>
          <w:rFonts w:ascii="Arial" w:hAnsi="Arial" w:cs="Arial"/>
          <w:color w:val="000000" w:themeColor="text1"/>
        </w:rPr>
        <w:t>Fast-tracking or streamlining</w:t>
      </w:r>
      <w:r w:rsidR="00DD1F09" w:rsidRPr="00C94627">
        <w:rPr>
          <w:rFonts w:ascii="Arial" w:hAnsi="Arial" w:cs="Arial"/>
          <w:color w:val="000000" w:themeColor="text1"/>
        </w:rPr>
        <w:t xml:space="preserve"> planning application processes</w:t>
      </w:r>
      <w:r w:rsidR="000B0FEE">
        <w:rPr>
          <w:rFonts w:ascii="Arial" w:hAnsi="Arial" w:cs="Arial"/>
          <w:color w:val="000000" w:themeColor="text1"/>
        </w:rPr>
        <w:t>.</w:t>
      </w:r>
      <w:r w:rsidRPr="00C94627">
        <w:rPr>
          <w:rFonts w:ascii="Arial" w:hAnsi="Arial" w:cs="Arial"/>
          <w:color w:val="000000" w:themeColor="text1"/>
        </w:rPr>
        <w:t xml:space="preserve"> </w:t>
      </w:r>
      <w:r w:rsidR="000B0FEE">
        <w:rPr>
          <w:rFonts w:ascii="Arial" w:hAnsi="Arial" w:cs="Arial"/>
          <w:color w:val="000000" w:themeColor="text1"/>
        </w:rPr>
        <w:t>Savings from reduced holding costs c</w:t>
      </w:r>
      <w:r w:rsidR="00034CC3">
        <w:rPr>
          <w:rFonts w:ascii="Arial" w:hAnsi="Arial" w:cs="Arial"/>
          <w:color w:val="000000" w:themeColor="text1"/>
        </w:rPr>
        <w:t>ould then</w:t>
      </w:r>
      <w:r w:rsidR="000B0FEE">
        <w:rPr>
          <w:rFonts w:ascii="Arial" w:hAnsi="Arial" w:cs="Arial"/>
          <w:color w:val="000000" w:themeColor="text1"/>
        </w:rPr>
        <w:t xml:space="preserve"> be passed onto the future occupant</w:t>
      </w:r>
      <w:r w:rsidR="00973D3E">
        <w:rPr>
          <w:rFonts w:ascii="Arial" w:hAnsi="Arial" w:cs="Arial"/>
          <w:color w:val="000000" w:themeColor="text1"/>
        </w:rPr>
        <w:t>; and</w:t>
      </w:r>
      <w:r w:rsidR="000B0FEE" w:rsidDel="000B0FEE">
        <w:rPr>
          <w:rStyle w:val="CommentReference"/>
        </w:rPr>
        <w:t xml:space="preserve"> </w:t>
      </w:r>
    </w:p>
    <w:p w:rsidR="00DD1F09" w:rsidRPr="00C94627" w:rsidRDefault="0085455D" w:rsidP="00C94627">
      <w:pPr>
        <w:numPr>
          <w:ilvl w:val="0"/>
          <w:numId w:val="4"/>
        </w:numPr>
        <w:spacing w:after="0" w:line="240" w:lineRule="auto"/>
        <w:jc w:val="both"/>
        <w:rPr>
          <w:rFonts w:ascii="Arial" w:hAnsi="Arial" w:cs="Arial"/>
          <w:color w:val="000000" w:themeColor="text1"/>
        </w:rPr>
      </w:pPr>
      <w:r w:rsidRPr="00C94627">
        <w:rPr>
          <w:rFonts w:ascii="Arial" w:hAnsi="Arial" w:cs="Arial"/>
          <w:color w:val="000000" w:themeColor="text1"/>
        </w:rPr>
        <w:t>Participating in joint venture proj</w:t>
      </w:r>
      <w:r w:rsidR="00DD1F09" w:rsidRPr="00C94627">
        <w:rPr>
          <w:rFonts w:ascii="Arial" w:hAnsi="Arial" w:cs="Arial"/>
          <w:color w:val="000000" w:themeColor="text1"/>
        </w:rPr>
        <w:t>ects with housing providers</w:t>
      </w:r>
      <w:r w:rsidR="00DD1F09" w:rsidRPr="00C94627">
        <w:rPr>
          <w:rFonts w:ascii="Arial" w:hAnsi="Arial" w:cs="Arial"/>
        </w:rPr>
        <w:t xml:space="preserve"> </w:t>
      </w:r>
      <w:r w:rsidR="00210255">
        <w:rPr>
          <w:rFonts w:ascii="Arial" w:hAnsi="Arial" w:cs="Arial"/>
        </w:rPr>
        <w:t>and developers.</w:t>
      </w:r>
    </w:p>
    <w:p w:rsidR="005543E5" w:rsidRDefault="005543E5" w:rsidP="00C94627">
      <w:pPr>
        <w:spacing w:after="0" w:line="240" w:lineRule="auto"/>
        <w:jc w:val="both"/>
        <w:rPr>
          <w:rFonts w:ascii="Arial" w:eastAsia="Times New Roman" w:hAnsi="Arial" w:cs="Arial"/>
          <w:color w:val="000000" w:themeColor="text1"/>
          <w:lang w:eastAsia="en-AU"/>
        </w:rPr>
      </w:pPr>
    </w:p>
    <w:p w:rsidR="00DF5AD4" w:rsidRPr="00C94627" w:rsidRDefault="00DF5AD4" w:rsidP="00C94627">
      <w:pPr>
        <w:spacing w:after="0" w:line="240" w:lineRule="auto"/>
        <w:jc w:val="both"/>
        <w:rPr>
          <w:rFonts w:ascii="Arial" w:eastAsia="Times New Roman" w:hAnsi="Arial" w:cs="Arial"/>
          <w:color w:val="000000" w:themeColor="text1"/>
          <w:lang w:eastAsia="en-AU"/>
        </w:rPr>
      </w:pPr>
      <w:r w:rsidRPr="00C94627">
        <w:rPr>
          <w:rFonts w:ascii="Arial" w:eastAsia="Times New Roman" w:hAnsi="Arial" w:cs="Arial"/>
          <w:color w:val="000000" w:themeColor="text1"/>
          <w:lang w:eastAsia="en-AU"/>
        </w:rPr>
        <w:t xml:space="preserve">Bearing the cost for some of these actions is most likely beyond the scope of many councils unless there is financial </w:t>
      </w:r>
      <w:r w:rsidR="00AC65DA">
        <w:rPr>
          <w:rFonts w:ascii="Arial" w:eastAsia="Times New Roman" w:hAnsi="Arial" w:cs="Arial"/>
          <w:color w:val="000000" w:themeColor="text1"/>
          <w:lang w:eastAsia="en-AU"/>
        </w:rPr>
        <w:t>capacity</w:t>
      </w:r>
      <w:r w:rsidR="00AC65DA" w:rsidRPr="00C94627">
        <w:rPr>
          <w:rFonts w:ascii="Arial" w:eastAsia="Times New Roman" w:hAnsi="Arial" w:cs="Arial"/>
          <w:color w:val="000000" w:themeColor="text1"/>
          <w:lang w:eastAsia="en-AU"/>
        </w:rPr>
        <w:t xml:space="preserve"> </w:t>
      </w:r>
      <w:r w:rsidRPr="00C94627">
        <w:rPr>
          <w:rFonts w:ascii="Arial" w:eastAsia="Times New Roman" w:hAnsi="Arial" w:cs="Arial"/>
          <w:color w:val="000000" w:themeColor="text1"/>
          <w:lang w:eastAsia="en-AU"/>
        </w:rPr>
        <w:t xml:space="preserve">and policy support </w:t>
      </w:r>
      <w:r w:rsidR="00210255">
        <w:rPr>
          <w:rFonts w:ascii="Arial" w:eastAsia="Times New Roman" w:hAnsi="Arial" w:cs="Arial"/>
          <w:color w:val="000000" w:themeColor="text1"/>
          <w:lang w:eastAsia="en-AU"/>
        </w:rPr>
        <w:t>from</w:t>
      </w:r>
      <w:r w:rsidR="00210255" w:rsidRPr="00C94627">
        <w:rPr>
          <w:rFonts w:ascii="Arial" w:eastAsia="Times New Roman" w:hAnsi="Arial" w:cs="Arial"/>
          <w:color w:val="000000" w:themeColor="text1"/>
          <w:lang w:eastAsia="en-AU"/>
        </w:rPr>
        <w:t xml:space="preserve"> </w:t>
      </w:r>
      <w:r w:rsidRPr="00C94627">
        <w:rPr>
          <w:rFonts w:ascii="Arial" w:eastAsia="Times New Roman" w:hAnsi="Arial" w:cs="Arial"/>
          <w:color w:val="000000" w:themeColor="text1"/>
          <w:lang w:eastAsia="en-AU"/>
        </w:rPr>
        <w:t>federal or state governments. For instance, providing incentives such as reduced rates and charges o</w:t>
      </w:r>
      <w:r w:rsidR="00C570DE" w:rsidRPr="00C94627">
        <w:rPr>
          <w:rFonts w:ascii="Arial" w:eastAsia="Times New Roman" w:hAnsi="Arial" w:cs="Arial"/>
          <w:color w:val="000000" w:themeColor="text1"/>
          <w:lang w:eastAsia="en-AU"/>
        </w:rPr>
        <w:t>n properties deemed affordable c</w:t>
      </w:r>
      <w:r w:rsidRPr="00C94627">
        <w:rPr>
          <w:rFonts w:ascii="Arial" w:eastAsia="Times New Roman" w:hAnsi="Arial" w:cs="Arial"/>
          <w:color w:val="000000" w:themeColor="text1"/>
          <w:lang w:eastAsia="en-AU"/>
        </w:rPr>
        <w:t>o</w:t>
      </w:r>
      <w:r w:rsidR="00C570DE" w:rsidRPr="00C94627">
        <w:rPr>
          <w:rFonts w:ascii="Arial" w:eastAsia="Times New Roman" w:hAnsi="Arial" w:cs="Arial"/>
          <w:color w:val="000000" w:themeColor="text1"/>
          <w:lang w:eastAsia="en-AU"/>
        </w:rPr>
        <w:t>uld strain councils’ main revenue base, along with the costs</w:t>
      </w:r>
      <w:r w:rsidR="00210255">
        <w:rPr>
          <w:rFonts w:ascii="Arial" w:eastAsia="Times New Roman" w:hAnsi="Arial" w:cs="Arial"/>
          <w:color w:val="000000" w:themeColor="text1"/>
          <w:lang w:eastAsia="en-AU"/>
        </w:rPr>
        <w:t xml:space="preserve"> and resources</w:t>
      </w:r>
      <w:r w:rsidR="00C570DE" w:rsidRPr="00C94627">
        <w:rPr>
          <w:rFonts w:ascii="Arial" w:eastAsia="Times New Roman" w:hAnsi="Arial" w:cs="Arial"/>
          <w:color w:val="000000" w:themeColor="text1"/>
          <w:lang w:eastAsia="en-AU"/>
        </w:rPr>
        <w:t xml:space="preserve"> associated with </w:t>
      </w:r>
      <w:r w:rsidRPr="00C94627">
        <w:rPr>
          <w:rFonts w:ascii="Arial" w:eastAsia="Times New Roman" w:hAnsi="Arial" w:cs="Arial"/>
          <w:color w:val="000000" w:themeColor="text1"/>
          <w:lang w:eastAsia="en-AU"/>
        </w:rPr>
        <w:t>the ongoing monitoring of such arrangements</w:t>
      </w:r>
      <w:r w:rsidR="00C570DE" w:rsidRPr="00C94627">
        <w:rPr>
          <w:rFonts w:ascii="Arial" w:eastAsia="Times New Roman" w:hAnsi="Arial" w:cs="Arial"/>
          <w:color w:val="000000" w:themeColor="text1"/>
          <w:lang w:eastAsia="en-AU"/>
        </w:rPr>
        <w:t>.</w:t>
      </w:r>
    </w:p>
    <w:p w:rsidR="00C570DE" w:rsidRPr="00C94627" w:rsidRDefault="00C570DE" w:rsidP="00C94627">
      <w:pPr>
        <w:spacing w:after="0" w:line="240" w:lineRule="auto"/>
        <w:jc w:val="both"/>
        <w:rPr>
          <w:rFonts w:ascii="Arial" w:eastAsia="Times New Roman" w:hAnsi="Arial" w:cs="Arial"/>
          <w:color w:val="000000" w:themeColor="text1"/>
          <w:lang w:eastAsia="en-AU"/>
        </w:rPr>
      </w:pPr>
    </w:p>
    <w:p w:rsidR="00DF5AD4" w:rsidRDefault="00DF5AD4" w:rsidP="00C94627">
      <w:pPr>
        <w:spacing w:after="0" w:line="240" w:lineRule="auto"/>
        <w:jc w:val="both"/>
        <w:rPr>
          <w:rFonts w:ascii="Arial" w:eastAsia="Times New Roman" w:hAnsi="Arial" w:cs="Arial"/>
          <w:color w:val="000000" w:themeColor="text1"/>
          <w:lang w:eastAsia="en-AU"/>
        </w:rPr>
      </w:pPr>
      <w:r w:rsidRPr="00C94627">
        <w:rPr>
          <w:rFonts w:ascii="Arial" w:eastAsia="Times New Roman" w:hAnsi="Arial" w:cs="Arial"/>
          <w:color w:val="000000" w:themeColor="text1"/>
          <w:lang w:eastAsia="en-AU"/>
        </w:rPr>
        <w:t xml:space="preserve">Another option </w:t>
      </w:r>
      <w:r w:rsidR="00C570DE" w:rsidRPr="00C94627">
        <w:rPr>
          <w:rFonts w:ascii="Arial" w:eastAsia="Times New Roman" w:hAnsi="Arial" w:cs="Arial"/>
          <w:color w:val="000000" w:themeColor="text1"/>
          <w:lang w:eastAsia="en-AU"/>
        </w:rPr>
        <w:t xml:space="preserve">that is not listed </w:t>
      </w:r>
      <w:r w:rsidR="00AC65DA">
        <w:rPr>
          <w:rFonts w:ascii="Arial" w:eastAsia="Times New Roman" w:hAnsi="Arial" w:cs="Arial"/>
          <w:color w:val="000000" w:themeColor="text1"/>
          <w:lang w:eastAsia="en-AU"/>
        </w:rPr>
        <w:t>is</w:t>
      </w:r>
      <w:r w:rsidR="00034CC3">
        <w:rPr>
          <w:rFonts w:ascii="Arial" w:eastAsia="Times New Roman" w:hAnsi="Arial" w:cs="Arial"/>
          <w:color w:val="000000" w:themeColor="text1"/>
          <w:lang w:eastAsia="en-AU"/>
        </w:rPr>
        <w:t xml:space="preserve"> above is</w:t>
      </w:r>
      <w:r w:rsidRPr="00C94627">
        <w:rPr>
          <w:rFonts w:ascii="Arial" w:eastAsia="Times New Roman" w:hAnsi="Arial" w:cs="Arial"/>
          <w:color w:val="000000" w:themeColor="text1"/>
          <w:lang w:eastAsia="en-AU"/>
        </w:rPr>
        <w:t xml:space="preserve"> inclusionary zoning which is a mechanism where</w:t>
      </w:r>
      <w:r w:rsidR="00034CC3">
        <w:rPr>
          <w:rFonts w:ascii="Arial" w:eastAsia="Times New Roman" w:hAnsi="Arial" w:cs="Arial"/>
          <w:color w:val="000000" w:themeColor="text1"/>
          <w:lang w:eastAsia="en-AU"/>
        </w:rPr>
        <w:t>by</w:t>
      </w:r>
      <w:r w:rsidRPr="00C94627">
        <w:rPr>
          <w:rFonts w:ascii="Arial" w:eastAsia="Times New Roman" w:hAnsi="Arial" w:cs="Arial"/>
          <w:color w:val="000000" w:themeColor="text1"/>
          <w:lang w:eastAsia="en-AU"/>
        </w:rPr>
        <w:t xml:space="preserve"> </w:t>
      </w:r>
      <w:r w:rsidR="00034CC3">
        <w:rPr>
          <w:rFonts w:ascii="Arial" w:eastAsia="Times New Roman" w:hAnsi="Arial" w:cs="Arial"/>
          <w:color w:val="000000" w:themeColor="text1"/>
          <w:lang w:eastAsia="en-AU"/>
        </w:rPr>
        <w:t>the</w:t>
      </w:r>
      <w:r w:rsidRPr="00C94627">
        <w:rPr>
          <w:rFonts w:ascii="Arial" w:eastAsia="Times New Roman" w:hAnsi="Arial" w:cs="Arial"/>
          <w:color w:val="000000" w:themeColor="text1"/>
          <w:lang w:eastAsia="en-AU"/>
        </w:rPr>
        <w:t xml:space="preserve"> Responsible Authority </w:t>
      </w:r>
      <w:r w:rsidR="00C570DE" w:rsidRPr="00C94627">
        <w:rPr>
          <w:rFonts w:ascii="Arial" w:eastAsia="Times New Roman" w:hAnsi="Arial" w:cs="Arial"/>
          <w:color w:val="000000" w:themeColor="text1"/>
          <w:lang w:eastAsia="en-AU"/>
        </w:rPr>
        <w:t>has</w:t>
      </w:r>
      <w:r w:rsidRPr="00C94627">
        <w:rPr>
          <w:rFonts w:ascii="Arial" w:eastAsia="Times New Roman" w:hAnsi="Arial" w:cs="Arial"/>
          <w:color w:val="000000" w:themeColor="text1"/>
          <w:lang w:eastAsia="en-AU"/>
        </w:rPr>
        <w:t xml:space="preserve"> statutory planning powers to place conditions on a developer requiring a proportion of </w:t>
      </w:r>
      <w:r w:rsidR="00034CC3" w:rsidRPr="00C94627">
        <w:rPr>
          <w:rFonts w:ascii="Arial" w:eastAsia="Times New Roman" w:hAnsi="Arial" w:cs="Arial"/>
          <w:color w:val="000000" w:themeColor="text1"/>
          <w:lang w:eastAsia="en-AU"/>
        </w:rPr>
        <w:t xml:space="preserve">affordable </w:t>
      </w:r>
      <w:r w:rsidRPr="00C94627">
        <w:rPr>
          <w:rFonts w:ascii="Arial" w:eastAsia="Times New Roman" w:hAnsi="Arial" w:cs="Arial"/>
          <w:color w:val="000000" w:themeColor="text1"/>
          <w:lang w:eastAsia="en-AU"/>
        </w:rPr>
        <w:t xml:space="preserve">housing in the </w:t>
      </w:r>
      <w:r w:rsidR="00034CC3">
        <w:rPr>
          <w:rFonts w:ascii="Arial" w:eastAsia="Times New Roman" w:hAnsi="Arial" w:cs="Arial"/>
          <w:color w:val="000000" w:themeColor="text1"/>
          <w:lang w:eastAsia="en-AU"/>
        </w:rPr>
        <w:t xml:space="preserve">larger </w:t>
      </w:r>
      <w:r w:rsidRPr="00C94627">
        <w:rPr>
          <w:rFonts w:ascii="Arial" w:eastAsia="Times New Roman" w:hAnsi="Arial" w:cs="Arial"/>
          <w:color w:val="000000" w:themeColor="text1"/>
          <w:lang w:eastAsia="en-AU"/>
        </w:rPr>
        <w:t>development</w:t>
      </w:r>
      <w:r w:rsidR="00034CC3">
        <w:rPr>
          <w:rFonts w:ascii="Arial" w:eastAsia="Times New Roman" w:hAnsi="Arial" w:cs="Arial"/>
          <w:color w:val="000000" w:themeColor="text1"/>
          <w:lang w:eastAsia="en-AU"/>
        </w:rPr>
        <w:t>s</w:t>
      </w:r>
      <w:r w:rsidRPr="00C94627">
        <w:rPr>
          <w:rFonts w:ascii="Arial" w:eastAsia="Times New Roman" w:hAnsi="Arial" w:cs="Arial"/>
          <w:color w:val="000000" w:themeColor="text1"/>
          <w:lang w:eastAsia="en-AU"/>
        </w:rPr>
        <w:t>. Off-setting benefits or compensation</w:t>
      </w:r>
      <w:r w:rsidR="00C570DE" w:rsidRPr="00C94627">
        <w:rPr>
          <w:rFonts w:ascii="Arial" w:eastAsia="Times New Roman" w:hAnsi="Arial" w:cs="Arial"/>
          <w:color w:val="000000" w:themeColor="text1"/>
          <w:lang w:eastAsia="en-AU"/>
        </w:rPr>
        <w:t xml:space="preserve"> could</w:t>
      </w:r>
      <w:r w:rsidRPr="00C94627">
        <w:rPr>
          <w:rFonts w:ascii="Arial" w:eastAsia="Times New Roman" w:hAnsi="Arial" w:cs="Arial"/>
          <w:color w:val="000000" w:themeColor="text1"/>
          <w:lang w:eastAsia="en-AU"/>
        </w:rPr>
        <w:t xml:space="preserve"> be offered in the form of higher density development. Inclusionary zoning has been a long-term element of South Australian urban planning and housing policy but has failed to gather support </w:t>
      </w:r>
      <w:r w:rsidR="00C570DE" w:rsidRPr="00C94627">
        <w:rPr>
          <w:rFonts w:ascii="Arial" w:eastAsia="Times New Roman" w:hAnsi="Arial" w:cs="Arial"/>
          <w:color w:val="000000" w:themeColor="text1"/>
          <w:lang w:eastAsia="en-AU"/>
        </w:rPr>
        <w:t>from</w:t>
      </w:r>
      <w:r w:rsidRPr="00C94627">
        <w:rPr>
          <w:rFonts w:ascii="Arial" w:eastAsia="Times New Roman" w:hAnsi="Arial" w:cs="Arial"/>
          <w:color w:val="000000" w:themeColor="text1"/>
          <w:lang w:eastAsia="en-AU"/>
        </w:rPr>
        <w:t xml:space="preserve"> </w:t>
      </w:r>
      <w:r w:rsidR="000B0FEE">
        <w:rPr>
          <w:rFonts w:ascii="Arial" w:eastAsia="Times New Roman" w:hAnsi="Arial" w:cs="Arial"/>
          <w:color w:val="000000" w:themeColor="text1"/>
          <w:lang w:eastAsia="en-AU"/>
        </w:rPr>
        <w:t xml:space="preserve">the Victorian </w:t>
      </w:r>
      <w:r w:rsidRPr="00C94627">
        <w:rPr>
          <w:rFonts w:ascii="Arial" w:eastAsia="Times New Roman" w:hAnsi="Arial" w:cs="Arial"/>
          <w:color w:val="000000" w:themeColor="text1"/>
          <w:lang w:eastAsia="en-AU"/>
        </w:rPr>
        <w:t>government</w:t>
      </w:r>
      <w:r w:rsidR="00C570DE" w:rsidRPr="00C94627">
        <w:rPr>
          <w:rFonts w:ascii="Arial" w:eastAsia="Times New Roman" w:hAnsi="Arial" w:cs="Arial"/>
          <w:color w:val="000000" w:themeColor="text1"/>
          <w:lang w:eastAsia="en-AU"/>
        </w:rPr>
        <w:t xml:space="preserve"> and</w:t>
      </w:r>
      <w:r w:rsidRPr="00C94627">
        <w:rPr>
          <w:rFonts w:ascii="Arial" w:eastAsia="Times New Roman" w:hAnsi="Arial" w:cs="Arial"/>
          <w:color w:val="000000" w:themeColor="text1"/>
          <w:lang w:eastAsia="en-AU"/>
        </w:rPr>
        <w:t xml:space="preserve"> private industry</w:t>
      </w:r>
      <w:r w:rsidR="00B90058">
        <w:rPr>
          <w:rFonts w:ascii="Arial" w:eastAsia="Times New Roman" w:hAnsi="Arial" w:cs="Arial"/>
          <w:color w:val="000000" w:themeColor="text1"/>
          <w:lang w:eastAsia="en-AU"/>
        </w:rPr>
        <w:t>.</w:t>
      </w:r>
    </w:p>
    <w:p w:rsidR="00210255" w:rsidRPr="00C94627" w:rsidRDefault="00210255" w:rsidP="00C94627">
      <w:pPr>
        <w:spacing w:after="0" w:line="240" w:lineRule="auto"/>
        <w:jc w:val="both"/>
        <w:rPr>
          <w:rFonts w:ascii="Arial" w:eastAsia="Times New Roman" w:hAnsi="Arial" w:cs="Arial"/>
          <w:color w:val="000000" w:themeColor="text1"/>
          <w:lang w:eastAsia="en-AU"/>
        </w:rPr>
      </w:pPr>
    </w:p>
    <w:p w:rsidR="0047634A" w:rsidRDefault="000B3B23">
      <w:pPr>
        <w:spacing w:after="0" w:line="240" w:lineRule="auto"/>
        <w:jc w:val="both"/>
        <w:rPr>
          <w:rFonts w:ascii="Arial" w:hAnsi="Arial" w:cs="Arial"/>
        </w:rPr>
      </w:pPr>
      <w:r w:rsidRPr="00973D3E">
        <w:rPr>
          <w:rFonts w:ascii="Arial" w:hAnsi="Arial" w:cs="Arial"/>
        </w:rPr>
        <w:t>T</w:t>
      </w:r>
      <w:r w:rsidR="0097018D" w:rsidRPr="00973D3E">
        <w:rPr>
          <w:rFonts w:ascii="Arial" w:hAnsi="Arial" w:cs="Arial"/>
        </w:rPr>
        <w:t xml:space="preserve">he </w:t>
      </w:r>
      <w:r w:rsidR="00AC65DA" w:rsidRPr="00973D3E">
        <w:rPr>
          <w:rFonts w:ascii="Arial" w:hAnsi="Arial" w:cs="Arial"/>
          <w:i/>
          <w:iCs/>
        </w:rPr>
        <w:t>Victorian Planning Provision</w:t>
      </w:r>
      <w:r w:rsidRPr="00973D3E">
        <w:rPr>
          <w:rFonts w:ascii="Arial" w:hAnsi="Arial" w:cs="Arial"/>
          <w:i/>
          <w:iCs/>
        </w:rPr>
        <w:t>s</w:t>
      </w:r>
      <w:r w:rsidR="00DD09A2" w:rsidRPr="00973D3E">
        <w:rPr>
          <w:rFonts w:ascii="Arial" w:hAnsi="Arial" w:cs="Arial"/>
        </w:rPr>
        <w:t xml:space="preserve"> set out </w:t>
      </w:r>
      <w:r w:rsidRPr="00973D3E">
        <w:rPr>
          <w:rFonts w:ascii="Arial" w:hAnsi="Arial" w:cs="Arial"/>
        </w:rPr>
        <w:t xml:space="preserve">regulatory requirements and guidelines for </w:t>
      </w:r>
      <w:r w:rsidR="000B0FEE" w:rsidRPr="00973D3E">
        <w:rPr>
          <w:rFonts w:ascii="Arial" w:hAnsi="Arial" w:cs="Arial"/>
        </w:rPr>
        <w:t xml:space="preserve">land use </w:t>
      </w:r>
      <w:r w:rsidRPr="00973D3E">
        <w:rPr>
          <w:rFonts w:ascii="Arial" w:hAnsi="Arial" w:cs="Arial"/>
        </w:rPr>
        <w:t>planning.</w:t>
      </w:r>
      <w:r w:rsidR="000B0FEE" w:rsidRPr="00973D3E">
        <w:rPr>
          <w:rFonts w:ascii="Arial" w:hAnsi="Arial" w:cs="Arial"/>
        </w:rPr>
        <w:t xml:space="preserve"> </w:t>
      </w:r>
      <w:r w:rsidR="00973D3E" w:rsidRPr="00973D3E">
        <w:rPr>
          <w:rFonts w:ascii="Arial" w:hAnsi="Arial" w:cs="Arial"/>
        </w:rPr>
        <w:t>Clause 16 of the State Planning Policy Framework is about housing, while it makes reference to ensuring that “</w:t>
      </w:r>
      <w:r w:rsidR="00973D3E" w:rsidRPr="00973D3E">
        <w:rPr>
          <w:rFonts w:ascii="Arial" w:hAnsi="Arial" w:cs="Arial"/>
          <w:i/>
        </w:rPr>
        <w:t>planning for housing should include providing land for affordable housing</w:t>
      </w:r>
      <w:r w:rsidR="00973D3E" w:rsidRPr="00973D3E">
        <w:rPr>
          <w:rFonts w:ascii="Arial" w:hAnsi="Arial" w:cs="Arial"/>
        </w:rPr>
        <w:t>,” and at 16.01-5 has a section on Housing Affordability. However the</w:t>
      </w:r>
      <w:r w:rsidRPr="00973D3E">
        <w:rPr>
          <w:rFonts w:ascii="Arial" w:hAnsi="Arial" w:cs="Arial"/>
        </w:rPr>
        <w:t xml:space="preserve"> current </w:t>
      </w:r>
      <w:r w:rsidR="00973D3E" w:rsidRPr="00973D3E">
        <w:rPr>
          <w:rFonts w:ascii="Arial" w:hAnsi="Arial" w:cs="Arial"/>
        </w:rPr>
        <w:t xml:space="preserve">policy framework </w:t>
      </w:r>
      <w:r w:rsidR="00DF5AD4" w:rsidRPr="00973D3E">
        <w:rPr>
          <w:rFonts w:ascii="Arial" w:hAnsi="Arial" w:cs="Arial"/>
        </w:rPr>
        <w:t>does not include</w:t>
      </w:r>
      <w:r w:rsidR="0097018D" w:rsidRPr="00973D3E">
        <w:rPr>
          <w:rFonts w:ascii="Arial" w:hAnsi="Arial" w:cs="Arial"/>
        </w:rPr>
        <w:t xml:space="preserve"> </w:t>
      </w:r>
      <w:r w:rsidR="00973D3E" w:rsidRPr="00973D3E">
        <w:rPr>
          <w:rFonts w:ascii="Arial" w:hAnsi="Arial" w:cs="Arial"/>
        </w:rPr>
        <w:t xml:space="preserve">enough </w:t>
      </w:r>
      <w:r w:rsidR="0097018D" w:rsidRPr="00973D3E">
        <w:rPr>
          <w:rFonts w:ascii="Arial" w:hAnsi="Arial" w:cs="Arial"/>
        </w:rPr>
        <w:t>specific requirements</w:t>
      </w:r>
      <w:r w:rsidR="00AC65DA" w:rsidRPr="00973D3E">
        <w:rPr>
          <w:rFonts w:ascii="Arial" w:hAnsi="Arial" w:cs="Arial"/>
        </w:rPr>
        <w:t xml:space="preserve"> for affordable housing</w:t>
      </w:r>
      <w:r w:rsidR="00F300B3">
        <w:rPr>
          <w:rFonts w:ascii="Arial" w:hAnsi="Arial" w:cs="Arial"/>
        </w:rPr>
        <w:t xml:space="preserve"> particularly in the private market</w:t>
      </w:r>
      <w:r w:rsidR="00034CC3" w:rsidRPr="00973D3E">
        <w:rPr>
          <w:rFonts w:ascii="Arial" w:hAnsi="Arial" w:cs="Arial"/>
        </w:rPr>
        <w:t>.</w:t>
      </w:r>
      <w:r w:rsidR="00AC65DA">
        <w:rPr>
          <w:rFonts w:ascii="Arial" w:hAnsi="Arial" w:cs="Arial"/>
        </w:rPr>
        <w:t xml:space="preserve"> </w:t>
      </w:r>
      <w:r w:rsidR="00034CC3">
        <w:rPr>
          <w:rFonts w:ascii="Arial" w:hAnsi="Arial" w:cs="Arial"/>
        </w:rPr>
        <w:t>T</w:t>
      </w:r>
      <w:r w:rsidR="00AC65DA">
        <w:rPr>
          <w:rFonts w:ascii="Arial" w:hAnsi="Arial" w:cs="Arial"/>
        </w:rPr>
        <w:t xml:space="preserve">here are limited </w:t>
      </w:r>
      <w:r>
        <w:rPr>
          <w:rFonts w:ascii="Arial" w:hAnsi="Arial" w:cs="Arial"/>
        </w:rPr>
        <w:t xml:space="preserve">tools </w:t>
      </w:r>
      <w:r w:rsidR="00AC65DA">
        <w:rPr>
          <w:rFonts w:ascii="Arial" w:hAnsi="Arial" w:cs="Arial"/>
        </w:rPr>
        <w:t xml:space="preserve">for councils </w:t>
      </w:r>
      <w:r w:rsidR="007E4B8F" w:rsidRPr="007E4B8F">
        <w:rPr>
          <w:rFonts w:ascii="Arial" w:eastAsia="Times New Roman" w:hAnsi="Arial" w:cs="Arial"/>
          <w:color w:val="000000" w:themeColor="text1"/>
          <w:lang w:eastAsia="en-AU"/>
        </w:rPr>
        <w:t>and</w:t>
      </w:r>
      <w:r w:rsidR="00AC65DA">
        <w:rPr>
          <w:rFonts w:ascii="Arial" w:hAnsi="Arial" w:cs="Arial"/>
        </w:rPr>
        <w:t xml:space="preserve"> other stakeholders </w:t>
      </w:r>
      <w:r w:rsidR="00034CC3">
        <w:rPr>
          <w:rFonts w:ascii="Arial" w:hAnsi="Arial" w:cs="Arial"/>
        </w:rPr>
        <w:t xml:space="preserve">to use </w:t>
      </w:r>
      <w:r w:rsidR="00AC65DA">
        <w:rPr>
          <w:rFonts w:ascii="Arial" w:hAnsi="Arial" w:cs="Arial"/>
        </w:rPr>
        <w:t>in the implementation of affordable housing</w:t>
      </w:r>
      <w:r w:rsidR="00AC65DA" w:rsidRPr="00C94627">
        <w:rPr>
          <w:rFonts w:ascii="Arial" w:hAnsi="Arial" w:cs="Arial"/>
        </w:rPr>
        <w:t xml:space="preserve">. </w:t>
      </w:r>
      <w:r w:rsidR="00034CC3" w:rsidRPr="00C94627">
        <w:rPr>
          <w:rFonts w:ascii="Arial" w:hAnsi="Arial" w:cs="Arial"/>
        </w:rPr>
        <w:t>As a result, councils have no legislative or regulatory back-up to do more than encourage or advocate for increased affordability</w:t>
      </w:r>
      <w:r w:rsidR="00034CC3">
        <w:rPr>
          <w:rFonts w:ascii="Arial" w:hAnsi="Arial" w:cs="Arial"/>
        </w:rPr>
        <w:t xml:space="preserve">. Strengthening the provisions </w:t>
      </w:r>
      <w:r w:rsidR="00AC65DA">
        <w:rPr>
          <w:rFonts w:ascii="Arial" w:hAnsi="Arial" w:cs="Arial"/>
        </w:rPr>
        <w:t xml:space="preserve">is </w:t>
      </w:r>
      <w:r w:rsidR="00034CC3">
        <w:rPr>
          <w:rFonts w:ascii="Arial" w:hAnsi="Arial" w:cs="Arial"/>
        </w:rPr>
        <w:t xml:space="preserve">therefore </w:t>
      </w:r>
      <w:r w:rsidR="00AC65DA">
        <w:rPr>
          <w:rFonts w:ascii="Arial" w:hAnsi="Arial" w:cs="Arial"/>
        </w:rPr>
        <w:t xml:space="preserve">essential </w:t>
      </w:r>
      <w:r w:rsidR="00034CC3">
        <w:rPr>
          <w:rFonts w:ascii="Arial" w:hAnsi="Arial" w:cs="Arial"/>
        </w:rPr>
        <w:t>to enable local government</w:t>
      </w:r>
      <w:r w:rsidR="00AC65DA">
        <w:rPr>
          <w:rFonts w:ascii="Arial" w:hAnsi="Arial" w:cs="Arial"/>
        </w:rPr>
        <w:t xml:space="preserve"> want to work </w:t>
      </w:r>
      <w:r w:rsidR="004C57AC" w:rsidRPr="00C94627">
        <w:rPr>
          <w:rFonts w:ascii="Arial" w:hAnsi="Arial" w:cs="Arial"/>
        </w:rPr>
        <w:t xml:space="preserve">with developers </w:t>
      </w:r>
      <w:r w:rsidR="00AC65DA">
        <w:rPr>
          <w:rFonts w:ascii="Arial" w:hAnsi="Arial" w:cs="Arial"/>
        </w:rPr>
        <w:t xml:space="preserve">to </w:t>
      </w:r>
      <w:r w:rsidR="004C57AC" w:rsidRPr="00C94627">
        <w:rPr>
          <w:rFonts w:ascii="Arial" w:hAnsi="Arial" w:cs="Arial"/>
        </w:rPr>
        <w:t>deliver affordable housing</w:t>
      </w:r>
      <w:r w:rsidR="00B83B84" w:rsidRPr="00C94627">
        <w:rPr>
          <w:rFonts w:ascii="Arial" w:hAnsi="Arial" w:cs="Arial"/>
        </w:rPr>
        <w:t xml:space="preserve">. </w:t>
      </w:r>
      <w:r w:rsidR="003E6946" w:rsidRPr="00C94627">
        <w:rPr>
          <w:rFonts w:ascii="Arial" w:hAnsi="Arial" w:cs="Arial"/>
        </w:rPr>
        <w:t xml:space="preserve"> </w:t>
      </w:r>
    </w:p>
    <w:p w:rsidR="00034CC3" w:rsidRDefault="00034CC3" w:rsidP="00C94627">
      <w:pPr>
        <w:spacing w:after="0" w:line="240" w:lineRule="auto"/>
        <w:rPr>
          <w:rFonts w:ascii="Arial" w:hAnsi="Arial" w:cs="Arial"/>
          <w:b/>
        </w:rPr>
      </w:pPr>
    </w:p>
    <w:p w:rsidR="00E46912" w:rsidRDefault="006C4107" w:rsidP="00C94627">
      <w:pPr>
        <w:spacing w:after="0" w:line="240" w:lineRule="auto"/>
        <w:rPr>
          <w:rFonts w:ascii="Arial" w:hAnsi="Arial" w:cs="Arial"/>
        </w:rPr>
      </w:pPr>
      <w:r w:rsidRPr="006C4107">
        <w:rPr>
          <w:rFonts w:ascii="Arial" w:hAnsi="Arial" w:cs="Arial"/>
          <w:b/>
        </w:rPr>
        <w:t>Recommendation</w:t>
      </w:r>
      <w:r w:rsidR="0044492B">
        <w:rPr>
          <w:rFonts w:ascii="Arial" w:hAnsi="Arial" w:cs="Arial"/>
          <w:b/>
        </w:rPr>
        <w:t xml:space="preserve"> 3</w:t>
      </w:r>
      <w:r w:rsidRPr="006C4107">
        <w:rPr>
          <w:rFonts w:ascii="Arial" w:hAnsi="Arial" w:cs="Arial"/>
          <w:b/>
        </w:rPr>
        <w:t>:</w:t>
      </w:r>
      <w:r w:rsidR="00E46912">
        <w:rPr>
          <w:rFonts w:ascii="Arial" w:hAnsi="Arial" w:cs="Arial"/>
        </w:rPr>
        <w:t xml:space="preserve"> That state and federal governments </w:t>
      </w:r>
      <w:r w:rsidR="000B3B23">
        <w:rPr>
          <w:rFonts w:ascii="Arial" w:hAnsi="Arial" w:cs="Arial"/>
        </w:rPr>
        <w:t>provide clear affordable housing implementation tools for land use planning</w:t>
      </w:r>
      <w:r w:rsidR="00E46912">
        <w:rPr>
          <w:rFonts w:ascii="Arial" w:hAnsi="Arial" w:cs="Arial"/>
        </w:rPr>
        <w:t xml:space="preserve"> and </w:t>
      </w:r>
      <w:r w:rsidR="00034CC3">
        <w:rPr>
          <w:rFonts w:ascii="Arial" w:hAnsi="Arial" w:cs="Arial"/>
        </w:rPr>
        <w:t xml:space="preserve">articulate the </w:t>
      </w:r>
      <w:r w:rsidR="00E46912">
        <w:rPr>
          <w:rFonts w:ascii="Arial" w:hAnsi="Arial" w:cs="Arial"/>
        </w:rPr>
        <w:t>role of local government and other key stakeholders</w:t>
      </w:r>
      <w:r w:rsidR="000B3B23">
        <w:rPr>
          <w:rFonts w:ascii="Arial" w:hAnsi="Arial" w:cs="Arial"/>
        </w:rPr>
        <w:t>.</w:t>
      </w:r>
    </w:p>
    <w:p w:rsidR="00210255" w:rsidRPr="00C94627" w:rsidRDefault="00210255" w:rsidP="00C94627">
      <w:pPr>
        <w:spacing w:after="0" w:line="240" w:lineRule="auto"/>
        <w:rPr>
          <w:rFonts w:ascii="Arial" w:hAnsi="Arial" w:cs="Arial"/>
          <w:color w:val="000000" w:themeColor="text1"/>
        </w:rPr>
      </w:pPr>
    </w:p>
    <w:p w:rsidR="005672A3" w:rsidRPr="00C94627" w:rsidRDefault="005672A3" w:rsidP="00C94627">
      <w:pPr>
        <w:spacing w:after="0" w:line="240" w:lineRule="auto"/>
        <w:jc w:val="both"/>
        <w:rPr>
          <w:rFonts w:ascii="Arial" w:eastAsia="Times New Roman" w:hAnsi="Arial" w:cs="Arial"/>
          <w:lang w:eastAsia="en-AU"/>
        </w:rPr>
      </w:pPr>
    </w:p>
    <w:p w:rsidR="00754594" w:rsidRPr="00E46912" w:rsidRDefault="006C4107" w:rsidP="00C94627">
      <w:pPr>
        <w:spacing w:after="0" w:line="240" w:lineRule="auto"/>
        <w:jc w:val="both"/>
        <w:rPr>
          <w:rFonts w:ascii="Arial" w:eastAsia="Times New Roman" w:hAnsi="Arial" w:cs="Arial"/>
          <w:b/>
          <w:color w:val="76923C" w:themeColor="accent3" w:themeShade="BF"/>
          <w:lang w:eastAsia="en-AU"/>
        </w:rPr>
      </w:pPr>
      <w:r w:rsidRPr="006C4107">
        <w:rPr>
          <w:rFonts w:ascii="Arial" w:eastAsia="Times New Roman" w:hAnsi="Arial" w:cs="Arial"/>
          <w:b/>
          <w:color w:val="76923C" w:themeColor="accent3" w:themeShade="BF"/>
          <w:lang w:eastAsia="en-AU"/>
        </w:rPr>
        <w:t>Provision of affordable private rentals</w:t>
      </w:r>
    </w:p>
    <w:p w:rsidR="004F72A7" w:rsidRPr="00C94627" w:rsidRDefault="00EE644F" w:rsidP="00A31D01">
      <w:pPr>
        <w:spacing w:before="120" w:after="0" w:line="240" w:lineRule="auto"/>
        <w:jc w:val="both"/>
        <w:rPr>
          <w:rFonts w:ascii="Arial" w:eastAsia="Times New Roman" w:hAnsi="Arial" w:cs="Arial"/>
          <w:lang w:eastAsia="en-AU"/>
        </w:rPr>
      </w:pPr>
      <w:r w:rsidRPr="00C94627">
        <w:rPr>
          <w:rFonts w:ascii="Arial" w:eastAsia="Times New Roman" w:hAnsi="Arial" w:cs="Arial"/>
          <w:lang w:eastAsia="en-AU"/>
        </w:rPr>
        <w:t xml:space="preserve">The following response </w:t>
      </w:r>
      <w:r w:rsidR="008D0D77" w:rsidRPr="00C94627">
        <w:rPr>
          <w:rFonts w:ascii="Arial" w:eastAsia="Times New Roman" w:hAnsi="Arial" w:cs="Arial"/>
          <w:lang w:eastAsia="en-AU"/>
        </w:rPr>
        <w:t xml:space="preserve">is premised on a definition that </w:t>
      </w:r>
      <w:r w:rsidR="00211D01" w:rsidRPr="00C94627">
        <w:rPr>
          <w:rFonts w:ascii="Arial" w:eastAsia="Times New Roman" w:hAnsi="Arial" w:cs="Arial"/>
          <w:lang w:eastAsia="en-AU"/>
        </w:rPr>
        <w:t>private rentals</w:t>
      </w:r>
      <w:r w:rsidR="00532F25" w:rsidRPr="00C94627">
        <w:rPr>
          <w:rFonts w:ascii="Arial" w:eastAsia="Times New Roman" w:hAnsi="Arial" w:cs="Arial"/>
          <w:lang w:eastAsia="en-AU"/>
        </w:rPr>
        <w:t xml:space="preserve"> exclude </w:t>
      </w:r>
      <w:r w:rsidR="00211D01" w:rsidRPr="00C94627">
        <w:rPr>
          <w:rFonts w:ascii="Arial" w:eastAsia="Times New Roman" w:hAnsi="Arial" w:cs="Arial"/>
          <w:lang w:eastAsia="en-AU"/>
        </w:rPr>
        <w:t xml:space="preserve">properties owned or managed by government or </w:t>
      </w:r>
      <w:r w:rsidR="00532F25" w:rsidRPr="00C94627">
        <w:rPr>
          <w:rFonts w:ascii="Arial" w:eastAsia="Times New Roman" w:hAnsi="Arial" w:cs="Arial"/>
          <w:lang w:eastAsia="en-AU"/>
        </w:rPr>
        <w:t>the</w:t>
      </w:r>
      <w:r w:rsidR="00211D01" w:rsidRPr="00C94627">
        <w:rPr>
          <w:rFonts w:ascii="Arial" w:eastAsia="Times New Roman" w:hAnsi="Arial" w:cs="Arial"/>
          <w:lang w:eastAsia="en-AU"/>
        </w:rPr>
        <w:t xml:space="preserve"> not-for-</w:t>
      </w:r>
      <w:r w:rsidR="00532F25" w:rsidRPr="00C94627">
        <w:rPr>
          <w:rFonts w:ascii="Arial" w:eastAsia="Times New Roman" w:hAnsi="Arial" w:cs="Arial"/>
          <w:lang w:eastAsia="en-AU"/>
        </w:rPr>
        <w:t xml:space="preserve">profit sector. </w:t>
      </w:r>
      <w:r w:rsidR="00DA3139" w:rsidRPr="00C94627">
        <w:rPr>
          <w:rFonts w:ascii="Arial" w:eastAsia="Times New Roman" w:hAnsi="Arial" w:cs="Arial"/>
          <w:lang w:eastAsia="en-AU"/>
        </w:rPr>
        <w:t xml:space="preserve">Once again, the need for a definition of affordability is required in order to </w:t>
      </w:r>
      <w:r w:rsidR="009C27C8" w:rsidRPr="00C94627">
        <w:rPr>
          <w:rFonts w:ascii="Arial" w:eastAsia="Times New Roman" w:hAnsi="Arial" w:cs="Arial"/>
          <w:lang w:eastAsia="en-AU"/>
        </w:rPr>
        <w:t xml:space="preserve">identify </w:t>
      </w:r>
      <w:r w:rsidR="002A66D6">
        <w:rPr>
          <w:rFonts w:ascii="Arial" w:eastAsia="Times New Roman" w:hAnsi="Arial" w:cs="Arial"/>
          <w:lang w:eastAsia="en-AU"/>
        </w:rPr>
        <w:t>who is</w:t>
      </w:r>
      <w:r w:rsidR="002A66D6" w:rsidRPr="00C94627">
        <w:rPr>
          <w:rFonts w:ascii="Arial" w:eastAsia="Times New Roman" w:hAnsi="Arial" w:cs="Arial"/>
          <w:lang w:eastAsia="en-AU"/>
        </w:rPr>
        <w:t xml:space="preserve"> </w:t>
      </w:r>
      <w:r w:rsidR="00DA3139" w:rsidRPr="00C94627">
        <w:rPr>
          <w:rFonts w:ascii="Arial" w:eastAsia="Times New Roman" w:hAnsi="Arial" w:cs="Arial"/>
          <w:lang w:eastAsia="en-AU"/>
        </w:rPr>
        <w:t>affected</w:t>
      </w:r>
      <w:r w:rsidR="009C27C8" w:rsidRPr="00C94627">
        <w:rPr>
          <w:rFonts w:ascii="Arial" w:eastAsia="Times New Roman" w:hAnsi="Arial" w:cs="Arial"/>
          <w:lang w:eastAsia="en-AU"/>
        </w:rPr>
        <w:t xml:space="preserve"> and how they are affected</w:t>
      </w:r>
      <w:r w:rsidR="00DA3139" w:rsidRPr="00C94627">
        <w:rPr>
          <w:rFonts w:ascii="Arial" w:eastAsia="Times New Roman" w:hAnsi="Arial" w:cs="Arial"/>
          <w:lang w:eastAsia="en-AU"/>
        </w:rPr>
        <w:t>.</w:t>
      </w:r>
      <w:r w:rsidR="00A802C9" w:rsidRPr="00C94627">
        <w:rPr>
          <w:rFonts w:ascii="Arial" w:eastAsia="Times New Roman" w:hAnsi="Arial" w:cs="Arial"/>
          <w:lang w:eastAsia="en-AU"/>
        </w:rPr>
        <w:t xml:space="preserve"> </w:t>
      </w:r>
    </w:p>
    <w:p w:rsidR="004F72A7" w:rsidRPr="00C94627" w:rsidRDefault="004F72A7" w:rsidP="00C94627">
      <w:pPr>
        <w:spacing w:after="0" w:line="240" w:lineRule="auto"/>
        <w:jc w:val="both"/>
        <w:rPr>
          <w:rFonts w:ascii="Arial" w:eastAsia="Times New Roman" w:hAnsi="Arial" w:cs="Arial"/>
          <w:lang w:eastAsia="en-AU"/>
        </w:rPr>
      </w:pPr>
    </w:p>
    <w:p w:rsidR="00A802C9" w:rsidRPr="00C94627" w:rsidRDefault="00A802C9" w:rsidP="00C94627">
      <w:pPr>
        <w:spacing w:after="0" w:line="240" w:lineRule="auto"/>
        <w:jc w:val="both"/>
        <w:rPr>
          <w:rFonts w:ascii="Arial" w:eastAsia="Times New Roman" w:hAnsi="Arial" w:cs="Arial"/>
          <w:color w:val="000000" w:themeColor="text1"/>
          <w:lang w:eastAsia="en-AU"/>
        </w:rPr>
      </w:pPr>
      <w:r w:rsidRPr="00C94627">
        <w:rPr>
          <w:rFonts w:ascii="Arial" w:eastAsia="Times New Roman" w:hAnsi="Arial" w:cs="Arial"/>
          <w:color w:val="000000" w:themeColor="text1"/>
          <w:lang w:eastAsia="en-AU"/>
        </w:rPr>
        <w:t xml:space="preserve">Currently the </w:t>
      </w:r>
      <w:r w:rsidR="004F72A7" w:rsidRPr="00C94627">
        <w:rPr>
          <w:rFonts w:ascii="Arial" w:eastAsia="Times New Roman" w:hAnsi="Arial" w:cs="Arial"/>
          <w:color w:val="000000" w:themeColor="text1"/>
          <w:lang w:eastAsia="en-AU"/>
        </w:rPr>
        <w:t xml:space="preserve">direct </w:t>
      </w:r>
      <w:r w:rsidRPr="00C94627">
        <w:rPr>
          <w:rFonts w:ascii="Arial" w:eastAsia="Times New Roman" w:hAnsi="Arial" w:cs="Arial"/>
          <w:color w:val="000000" w:themeColor="text1"/>
          <w:lang w:eastAsia="en-AU"/>
        </w:rPr>
        <w:t xml:space="preserve">provision of affordable private rental (for low and moderate income households) is outside of the scope of </w:t>
      </w:r>
      <w:r w:rsidR="004F72A7" w:rsidRPr="00C94627">
        <w:rPr>
          <w:rFonts w:ascii="Arial" w:eastAsia="Times New Roman" w:hAnsi="Arial" w:cs="Arial"/>
          <w:color w:val="000000" w:themeColor="text1"/>
          <w:lang w:eastAsia="en-AU"/>
        </w:rPr>
        <w:t>most councils</w:t>
      </w:r>
      <w:r w:rsidRPr="00C94627">
        <w:rPr>
          <w:rFonts w:ascii="Arial" w:eastAsia="Times New Roman" w:hAnsi="Arial" w:cs="Arial"/>
          <w:color w:val="000000" w:themeColor="text1"/>
          <w:lang w:eastAsia="en-AU"/>
        </w:rPr>
        <w:t xml:space="preserve"> as there are no methods by which councils can restrict or regulate the r</w:t>
      </w:r>
      <w:r w:rsidR="004F72A7" w:rsidRPr="00C94627">
        <w:rPr>
          <w:rFonts w:ascii="Arial" w:eastAsia="Times New Roman" w:hAnsi="Arial" w:cs="Arial"/>
          <w:color w:val="000000" w:themeColor="text1"/>
          <w:lang w:eastAsia="en-AU"/>
        </w:rPr>
        <w:t>ent</w:t>
      </w:r>
      <w:r w:rsidR="002A66D6">
        <w:rPr>
          <w:rFonts w:ascii="Arial" w:eastAsia="Times New Roman" w:hAnsi="Arial" w:cs="Arial"/>
          <w:color w:val="000000" w:themeColor="text1"/>
          <w:lang w:eastAsia="en-AU"/>
        </w:rPr>
        <w:t>al prices</w:t>
      </w:r>
      <w:r w:rsidR="004F72A7" w:rsidRPr="00C94627">
        <w:rPr>
          <w:rFonts w:ascii="Arial" w:eastAsia="Times New Roman" w:hAnsi="Arial" w:cs="Arial"/>
          <w:color w:val="000000" w:themeColor="text1"/>
          <w:lang w:eastAsia="en-AU"/>
        </w:rPr>
        <w:t xml:space="preserve"> charged by property owners.</w:t>
      </w:r>
    </w:p>
    <w:p w:rsidR="00EE644F" w:rsidRPr="00C94627" w:rsidRDefault="00EE644F" w:rsidP="00C94627">
      <w:pPr>
        <w:spacing w:after="0" w:line="240" w:lineRule="auto"/>
        <w:jc w:val="both"/>
        <w:rPr>
          <w:rFonts w:ascii="Arial" w:eastAsia="Times New Roman" w:hAnsi="Arial" w:cs="Arial"/>
          <w:lang w:eastAsia="en-AU"/>
        </w:rPr>
      </w:pPr>
    </w:p>
    <w:p w:rsidR="0047634A" w:rsidRDefault="00724BE9">
      <w:pPr>
        <w:spacing w:after="0" w:line="240" w:lineRule="auto"/>
        <w:jc w:val="both"/>
        <w:rPr>
          <w:rFonts w:ascii="Arial" w:hAnsi="Arial" w:cs="Arial"/>
        </w:rPr>
      </w:pPr>
      <w:r w:rsidRPr="00C94627">
        <w:rPr>
          <w:rFonts w:ascii="Arial" w:hAnsi="Arial" w:cs="Arial"/>
        </w:rPr>
        <w:t>The</w:t>
      </w:r>
      <w:r w:rsidR="004F72A7" w:rsidRPr="00C94627">
        <w:rPr>
          <w:rFonts w:ascii="Arial" w:hAnsi="Arial" w:cs="Arial"/>
        </w:rPr>
        <w:t>refore, the</w:t>
      </w:r>
      <w:r w:rsidRPr="00C94627">
        <w:rPr>
          <w:rFonts w:ascii="Arial" w:hAnsi="Arial" w:cs="Arial"/>
        </w:rPr>
        <w:t xml:space="preserve"> Council supports a continuation of the </w:t>
      </w:r>
      <w:r w:rsidR="004F72A7" w:rsidRPr="00C94627">
        <w:rPr>
          <w:rFonts w:ascii="Arial" w:hAnsi="Arial" w:cs="Arial"/>
        </w:rPr>
        <w:t xml:space="preserve">existing </w:t>
      </w:r>
      <w:r w:rsidRPr="00C94627">
        <w:rPr>
          <w:rFonts w:ascii="Arial" w:hAnsi="Arial" w:cs="Arial"/>
        </w:rPr>
        <w:t xml:space="preserve">National </w:t>
      </w:r>
      <w:r w:rsidR="00F300B3">
        <w:rPr>
          <w:rFonts w:ascii="Arial" w:hAnsi="Arial" w:cs="Arial"/>
        </w:rPr>
        <w:t xml:space="preserve">Rental </w:t>
      </w:r>
      <w:r w:rsidRPr="00C94627">
        <w:rPr>
          <w:rFonts w:ascii="Arial" w:hAnsi="Arial" w:cs="Arial"/>
        </w:rPr>
        <w:t xml:space="preserve">Affordability Scheme </w:t>
      </w:r>
      <w:r w:rsidR="002A66D6">
        <w:rPr>
          <w:rFonts w:ascii="Arial" w:hAnsi="Arial" w:cs="Arial"/>
        </w:rPr>
        <w:t xml:space="preserve">(NRAS) </w:t>
      </w:r>
      <w:r w:rsidRPr="00C94627">
        <w:rPr>
          <w:rFonts w:ascii="Arial" w:hAnsi="Arial" w:cs="Arial"/>
        </w:rPr>
        <w:t>to provide rental housing f</w:t>
      </w:r>
      <w:r w:rsidR="00DA3139" w:rsidRPr="00C94627">
        <w:rPr>
          <w:rFonts w:ascii="Arial" w:hAnsi="Arial" w:cs="Arial"/>
        </w:rPr>
        <w:t xml:space="preserve">or those on moderate incomes, </w:t>
      </w:r>
      <w:r w:rsidRPr="00C94627">
        <w:rPr>
          <w:rFonts w:ascii="Arial" w:hAnsi="Arial" w:cs="Arial"/>
        </w:rPr>
        <w:t xml:space="preserve">such as emergency and service workers, </w:t>
      </w:r>
      <w:r w:rsidR="00DA3139" w:rsidRPr="00C94627">
        <w:rPr>
          <w:rFonts w:ascii="Arial" w:hAnsi="Arial" w:cs="Arial"/>
        </w:rPr>
        <w:t xml:space="preserve">at 20 per cent below market value. </w:t>
      </w:r>
      <w:r w:rsidR="004F72A7" w:rsidRPr="00C94627">
        <w:rPr>
          <w:rFonts w:ascii="Arial" w:hAnsi="Arial" w:cs="Arial"/>
        </w:rPr>
        <w:t xml:space="preserve">This housing provides a housing stream for those </w:t>
      </w:r>
      <w:r w:rsidR="005013CC" w:rsidRPr="00C94627">
        <w:rPr>
          <w:rFonts w:ascii="Arial" w:hAnsi="Arial" w:cs="Arial"/>
        </w:rPr>
        <w:t>working in lower paid jobs</w:t>
      </w:r>
      <w:r w:rsidR="009A27E9" w:rsidRPr="00C94627">
        <w:rPr>
          <w:rFonts w:ascii="Arial" w:hAnsi="Arial" w:cs="Arial"/>
        </w:rPr>
        <w:t xml:space="preserve"> and with limited choice as to where they can afford to live</w:t>
      </w:r>
      <w:r w:rsidR="004F72A7" w:rsidRPr="00C94627">
        <w:rPr>
          <w:rFonts w:ascii="Arial" w:hAnsi="Arial" w:cs="Arial"/>
        </w:rPr>
        <w:t xml:space="preserve"> due to the high cost of renting</w:t>
      </w:r>
      <w:r w:rsidR="005013CC" w:rsidRPr="00C94627">
        <w:rPr>
          <w:rFonts w:ascii="Arial" w:hAnsi="Arial" w:cs="Arial"/>
        </w:rPr>
        <w:t xml:space="preserve">. NRAS </w:t>
      </w:r>
      <w:r w:rsidR="007E4B8F" w:rsidRPr="007E4B8F">
        <w:rPr>
          <w:rFonts w:ascii="Arial" w:eastAsia="Times New Roman" w:hAnsi="Arial" w:cs="Arial"/>
          <w:color w:val="000000" w:themeColor="text1"/>
          <w:lang w:eastAsia="en-AU"/>
        </w:rPr>
        <w:t>funding</w:t>
      </w:r>
      <w:r w:rsidR="005013CC" w:rsidRPr="00C94627">
        <w:rPr>
          <w:rFonts w:ascii="Arial" w:hAnsi="Arial" w:cs="Arial"/>
        </w:rPr>
        <w:t xml:space="preserve"> </w:t>
      </w:r>
      <w:r w:rsidR="009A27E9" w:rsidRPr="00C94627">
        <w:rPr>
          <w:rFonts w:ascii="Arial" w:hAnsi="Arial" w:cs="Arial"/>
        </w:rPr>
        <w:t xml:space="preserve">has increased the </w:t>
      </w:r>
      <w:r w:rsidR="005013CC" w:rsidRPr="00C94627">
        <w:rPr>
          <w:rFonts w:ascii="Arial" w:hAnsi="Arial" w:cs="Arial"/>
        </w:rPr>
        <w:t>housing option</w:t>
      </w:r>
      <w:r w:rsidR="009A27E9" w:rsidRPr="00C94627">
        <w:rPr>
          <w:rFonts w:ascii="Arial" w:hAnsi="Arial" w:cs="Arial"/>
        </w:rPr>
        <w:t>s</w:t>
      </w:r>
      <w:r w:rsidR="005013CC" w:rsidRPr="00C94627">
        <w:rPr>
          <w:rFonts w:ascii="Arial" w:hAnsi="Arial" w:cs="Arial"/>
        </w:rPr>
        <w:t xml:space="preserve"> for</w:t>
      </w:r>
      <w:r w:rsidR="009A27E9" w:rsidRPr="00C94627">
        <w:rPr>
          <w:rFonts w:ascii="Arial" w:hAnsi="Arial" w:cs="Arial"/>
        </w:rPr>
        <w:t xml:space="preserve"> this group</w:t>
      </w:r>
      <w:r w:rsidR="004F72A7" w:rsidRPr="00C94627">
        <w:rPr>
          <w:rFonts w:ascii="Arial" w:hAnsi="Arial" w:cs="Arial"/>
        </w:rPr>
        <w:t xml:space="preserve">. </w:t>
      </w:r>
      <w:r w:rsidR="002A66D6">
        <w:rPr>
          <w:rFonts w:ascii="Arial" w:hAnsi="Arial" w:cs="Arial"/>
        </w:rPr>
        <w:t xml:space="preserve">It is currently unclear as to whether this funding will be continued. </w:t>
      </w:r>
      <w:r w:rsidR="004F72A7" w:rsidRPr="00C94627">
        <w:rPr>
          <w:rFonts w:ascii="Arial" w:hAnsi="Arial" w:cs="Arial"/>
        </w:rPr>
        <w:t>To prevent the</w:t>
      </w:r>
      <w:r w:rsidR="005013CC" w:rsidRPr="00C94627">
        <w:rPr>
          <w:rFonts w:ascii="Arial" w:hAnsi="Arial" w:cs="Arial"/>
        </w:rPr>
        <w:t xml:space="preserve"> further </w:t>
      </w:r>
      <w:r w:rsidR="009A27E9" w:rsidRPr="00C94627">
        <w:rPr>
          <w:rFonts w:ascii="Arial" w:hAnsi="Arial" w:cs="Arial"/>
        </w:rPr>
        <w:t xml:space="preserve">socio economic </w:t>
      </w:r>
      <w:r w:rsidR="005013CC" w:rsidRPr="00C94627">
        <w:rPr>
          <w:rFonts w:ascii="Arial" w:hAnsi="Arial" w:cs="Arial"/>
        </w:rPr>
        <w:t xml:space="preserve">polarisation of </w:t>
      </w:r>
      <w:r w:rsidR="004F72A7" w:rsidRPr="00C94627">
        <w:rPr>
          <w:rFonts w:ascii="Arial" w:hAnsi="Arial" w:cs="Arial"/>
        </w:rPr>
        <w:t xml:space="preserve">Australian </w:t>
      </w:r>
      <w:r w:rsidR="005013CC" w:rsidRPr="00C94627">
        <w:rPr>
          <w:rFonts w:ascii="Arial" w:hAnsi="Arial" w:cs="Arial"/>
        </w:rPr>
        <w:t xml:space="preserve">cities, it is important that </w:t>
      </w:r>
      <w:r w:rsidR="002A66D6">
        <w:rPr>
          <w:rFonts w:ascii="Arial" w:hAnsi="Arial" w:cs="Arial"/>
        </w:rPr>
        <w:t>it does</w:t>
      </w:r>
      <w:r w:rsidR="005013CC" w:rsidRPr="00C94627">
        <w:rPr>
          <w:rFonts w:ascii="Arial" w:hAnsi="Arial" w:cs="Arial"/>
        </w:rPr>
        <w:t xml:space="preserve"> </w:t>
      </w:r>
      <w:r w:rsidR="00A538EA" w:rsidRPr="00C94627">
        <w:rPr>
          <w:rFonts w:ascii="Arial" w:hAnsi="Arial" w:cs="Arial"/>
        </w:rPr>
        <w:t>continue,</w:t>
      </w:r>
      <w:r w:rsidR="002A66D6">
        <w:rPr>
          <w:rFonts w:ascii="Arial" w:hAnsi="Arial" w:cs="Arial"/>
        </w:rPr>
        <w:t xml:space="preserve"> however</w:t>
      </w:r>
      <w:r w:rsidR="00A538EA" w:rsidRPr="00C94627">
        <w:rPr>
          <w:rFonts w:ascii="Arial" w:hAnsi="Arial" w:cs="Arial"/>
        </w:rPr>
        <w:t xml:space="preserve"> ensuring that a major portion of the funding is</w:t>
      </w:r>
      <w:r w:rsidR="009A27E9" w:rsidRPr="00C94627">
        <w:rPr>
          <w:rFonts w:ascii="Arial" w:hAnsi="Arial" w:cs="Arial"/>
        </w:rPr>
        <w:t xml:space="preserve"> directed</w:t>
      </w:r>
      <w:r w:rsidR="005013CC" w:rsidRPr="00C94627">
        <w:rPr>
          <w:rFonts w:ascii="Arial" w:hAnsi="Arial" w:cs="Arial"/>
        </w:rPr>
        <w:t xml:space="preserve"> to development</w:t>
      </w:r>
      <w:r w:rsidR="009A27E9" w:rsidRPr="00C94627">
        <w:rPr>
          <w:rFonts w:ascii="Arial" w:hAnsi="Arial" w:cs="Arial"/>
        </w:rPr>
        <w:t>s</w:t>
      </w:r>
      <w:r w:rsidR="005013CC" w:rsidRPr="00C94627">
        <w:rPr>
          <w:rFonts w:ascii="Arial" w:hAnsi="Arial" w:cs="Arial"/>
        </w:rPr>
        <w:t xml:space="preserve"> </w:t>
      </w:r>
      <w:r w:rsidR="009A27E9" w:rsidRPr="00C94627">
        <w:rPr>
          <w:rFonts w:ascii="Arial" w:hAnsi="Arial" w:cs="Arial"/>
        </w:rPr>
        <w:t>in the inner and middle ring suburbs</w:t>
      </w:r>
      <w:r w:rsidR="00A538EA" w:rsidRPr="00C94627">
        <w:rPr>
          <w:rFonts w:ascii="Arial" w:hAnsi="Arial" w:cs="Arial"/>
        </w:rPr>
        <w:t xml:space="preserve"> where there is good access to services and infrastructure</w:t>
      </w:r>
      <w:r w:rsidR="005013CC" w:rsidRPr="00C94627">
        <w:rPr>
          <w:rFonts w:ascii="Arial" w:hAnsi="Arial" w:cs="Arial"/>
        </w:rPr>
        <w:t xml:space="preserve">. </w:t>
      </w:r>
    </w:p>
    <w:p w:rsidR="00A538EA" w:rsidRPr="00C94627" w:rsidRDefault="00A538EA" w:rsidP="00C94627">
      <w:pPr>
        <w:pStyle w:val="ABodynospace"/>
        <w:spacing w:line="240" w:lineRule="auto"/>
        <w:rPr>
          <w:rFonts w:ascii="Arial" w:hAnsi="Arial" w:cs="Arial"/>
        </w:rPr>
      </w:pPr>
    </w:p>
    <w:p w:rsidR="0047634A" w:rsidRDefault="00A538EA">
      <w:pPr>
        <w:spacing w:after="0" w:line="240" w:lineRule="auto"/>
        <w:jc w:val="both"/>
        <w:rPr>
          <w:rFonts w:ascii="Arial" w:hAnsi="Arial" w:cs="Arial"/>
          <w:color w:val="004182"/>
        </w:rPr>
      </w:pPr>
      <w:r w:rsidRPr="00C94627">
        <w:rPr>
          <w:rFonts w:ascii="Arial" w:hAnsi="Arial" w:cs="Arial"/>
        </w:rPr>
        <w:t>Should the program be discontinued, an important housing source will be lost to those on moderate incomes, further exacerbating the shortage of affordable private rentals</w:t>
      </w:r>
      <w:r w:rsidR="000406F4">
        <w:rPr>
          <w:rFonts w:ascii="Arial" w:hAnsi="Arial" w:cs="Arial"/>
        </w:rPr>
        <w:t xml:space="preserve"> for this group</w:t>
      </w:r>
      <w:r w:rsidRPr="00C94627">
        <w:rPr>
          <w:rFonts w:ascii="Arial" w:hAnsi="Arial" w:cs="Arial"/>
        </w:rPr>
        <w:t xml:space="preserve">. In addition under NRAS guidelines, the </w:t>
      </w:r>
      <w:r w:rsidR="00724BE9" w:rsidRPr="00C94627">
        <w:rPr>
          <w:rFonts w:ascii="Arial" w:hAnsi="Arial" w:cs="Arial"/>
        </w:rPr>
        <w:t>10 year sunset clause allow</w:t>
      </w:r>
      <w:r w:rsidRPr="00C94627">
        <w:rPr>
          <w:rFonts w:ascii="Arial" w:hAnsi="Arial" w:cs="Arial"/>
        </w:rPr>
        <w:t>s</w:t>
      </w:r>
      <w:r w:rsidR="00724BE9" w:rsidRPr="00C94627">
        <w:rPr>
          <w:rFonts w:ascii="Arial" w:hAnsi="Arial" w:cs="Arial"/>
        </w:rPr>
        <w:t xml:space="preserve"> rents to be </w:t>
      </w:r>
      <w:r w:rsidRPr="00C94627">
        <w:rPr>
          <w:rFonts w:ascii="Arial" w:hAnsi="Arial" w:cs="Arial"/>
        </w:rPr>
        <w:t xml:space="preserve">either </w:t>
      </w:r>
      <w:r w:rsidR="00724BE9" w:rsidRPr="00C94627">
        <w:rPr>
          <w:rFonts w:ascii="Arial" w:hAnsi="Arial" w:cs="Arial"/>
        </w:rPr>
        <w:t xml:space="preserve">lifted to market levels or </w:t>
      </w:r>
      <w:r w:rsidR="007E4B8F" w:rsidRPr="007E4B8F">
        <w:rPr>
          <w:rFonts w:ascii="Arial" w:eastAsia="Times New Roman" w:hAnsi="Arial" w:cs="Arial"/>
          <w:color w:val="000000" w:themeColor="text1"/>
          <w:lang w:eastAsia="en-AU"/>
        </w:rPr>
        <w:t>properties</w:t>
      </w:r>
      <w:r w:rsidR="00724BE9" w:rsidRPr="00C94627">
        <w:rPr>
          <w:rFonts w:ascii="Arial" w:hAnsi="Arial" w:cs="Arial"/>
        </w:rPr>
        <w:t xml:space="preserve"> to be sold</w:t>
      </w:r>
      <w:r w:rsidR="00B90058">
        <w:rPr>
          <w:rFonts w:ascii="Arial" w:hAnsi="Arial" w:cs="Arial"/>
        </w:rPr>
        <w:t>. I</w:t>
      </w:r>
      <w:r w:rsidRPr="00C94627">
        <w:rPr>
          <w:rFonts w:ascii="Arial" w:hAnsi="Arial" w:cs="Arial"/>
        </w:rPr>
        <w:t>t is unclear w</w:t>
      </w:r>
      <w:r w:rsidR="00B90058">
        <w:rPr>
          <w:rFonts w:ascii="Arial" w:hAnsi="Arial" w:cs="Arial"/>
        </w:rPr>
        <w:t>hat the impacts will be when this</w:t>
      </w:r>
      <w:r w:rsidRPr="00C94627">
        <w:rPr>
          <w:rFonts w:ascii="Arial" w:hAnsi="Arial" w:cs="Arial"/>
        </w:rPr>
        <w:t xml:space="preserve"> is activated but likely that the stock of moderate income housing will be reduced</w:t>
      </w:r>
      <w:r w:rsidR="00724BE9" w:rsidRPr="00C94627">
        <w:rPr>
          <w:rFonts w:ascii="Arial" w:hAnsi="Arial" w:cs="Arial"/>
        </w:rPr>
        <w:t>.</w:t>
      </w:r>
      <w:r w:rsidR="00B90058">
        <w:rPr>
          <w:rFonts w:ascii="Arial" w:hAnsi="Arial" w:cs="Arial"/>
        </w:rPr>
        <w:t xml:space="preserve">  In addition, while the NRAS funding is important in addressing affordable housing for moderate income households, it is not addressing the needs of those on low incomes therefore if continued cannot be done in isolation.</w:t>
      </w:r>
      <w:r w:rsidR="00724BE9" w:rsidRPr="00C94627">
        <w:rPr>
          <w:rFonts w:ascii="Arial" w:hAnsi="Arial" w:cs="Arial"/>
        </w:rPr>
        <w:t xml:space="preserve"> </w:t>
      </w:r>
    </w:p>
    <w:p w:rsidR="00A802C9" w:rsidRPr="00C94627" w:rsidRDefault="00A802C9" w:rsidP="00C94627">
      <w:pPr>
        <w:spacing w:after="0" w:line="240" w:lineRule="auto"/>
        <w:jc w:val="both"/>
        <w:rPr>
          <w:rFonts w:ascii="Arial" w:eastAsia="Times New Roman" w:hAnsi="Arial" w:cs="Arial"/>
          <w:lang w:eastAsia="en-AU"/>
        </w:rPr>
      </w:pPr>
    </w:p>
    <w:p w:rsidR="00A802C9" w:rsidRPr="00C94627" w:rsidRDefault="00A538EA" w:rsidP="00C94627">
      <w:pPr>
        <w:spacing w:after="0" w:line="240" w:lineRule="auto"/>
        <w:jc w:val="both"/>
        <w:rPr>
          <w:rFonts w:ascii="Arial" w:hAnsi="Arial" w:cs="Arial"/>
        </w:rPr>
      </w:pPr>
      <w:r w:rsidRPr="00C94627">
        <w:rPr>
          <w:rFonts w:ascii="Arial" w:eastAsia="Times New Roman" w:hAnsi="Arial" w:cs="Arial"/>
          <w:lang w:eastAsia="en-AU"/>
        </w:rPr>
        <w:t>Housing a</w:t>
      </w:r>
      <w:r w:rsidR="00A802C9" w:rsidRPr="00C94627">
        <w:rPr>
          <w:rFonts w:ascii="Arial" w:eastAsia="Times New Roman" w:hAnsi="Arial" w:cs="Arial"/>
          <w:lang w:eastAsia="en-AU"/>
        </w:rPr>
        <w:t xml:space="preserve">ffordability is an issue that the Council is </w:t>
      </w:r>
      <w:r w:rsidRPr="00C94627">
        <w:rPr>
          <w:rFonts w:ascii="Arial" w:eastAsia="Times New Roman" w:hAnsi="Arial" w:cs="Arial"/>
          <w:lang w:eastAsia="en-AU"/>
        </w:rPr>
        <w:t xml:space="preserve">very </w:t>
      </w:r>
      <w:r w:rsidR="00A802C9" w:rsidRPr="00C94627">
        <w:rPr>
          <w:rFonts w:ascii="Arial" w:eastAsia="Times New Roman" w:hAnsi="Arial" w:cs="Arial"/>
          <w:lang w:eastAsia="en-AU"/>
        </w:rPr>
        <w:t>concerned about, especially for residents on low incomes</w:t>
      </w:r>
      <w:r w:rsidR="009A27E9" w:rsidRPr="00C94627">
        <w:rPr>
          <w:rFonts w:ascii="Arial" w:eastAsia="Times New Roman" w:hAnsi="Arial" w:cs="Arial"/>
          <w:lang w:eastAsia="en-AU"/>
        </w:rPr>
        <w:t xml:space="preserve"> who are renting.</w:t>
      </w:r>
      <w:r w:rsidR="00A802C9" w:rsidRPr="00C94627">
        <w:rPr>
          <w:rFonts w:ascii="Arial" w:eastAsia="Times New Roman" w:hAnsi="Arial" w:cs="Arial"/>
          <w:lang w:eastAsia="en-AU"/>
        </w:rPr>
        <w:t xml:space="preserve"> </w:t>
      </w:r>
      <w:r w:rsidR="002A66D6">
        <w:rPr>
          <w:rFonts w:ascii="Arial" w:eastAsia="Times New Roman" w:hAnsi="Arial" w:cs="Arial"/>
          <w:lang w:eastAsia="en-AU"/>
        </w:rPr>
        <w:t>Within the Councils</w:t>
      </w:r>
      <w:r w:rsidR="009A27E9" w:rsidRPr="00C94627">
        <w:rPr>
          <w:rFonts w:ascii="Arial" w:eastAsia="Times New Roman" w:hAnsi="Arial" w:cs="Arial"/>
          <w:lang w:eastAsia="en-AU"/>
        </w:rPr>
        <w:t xml:space="preserve"> </w:t>
      </w:r>
      <w:r w:rsidR="00A802C9" w:rsidRPr="00C94627">
        <w:rPr>
          <w:rFonts w:ascii="Arial" w:hAnsi="Arial" w:cs="Arial"/>
          <w:i/>
        </w:rPr>
        <w:t>Improved Housing Choices for Residents on Low Incomes</w:t>
      </w:r>
      <w:r w:rsidR="002A66D6">
        <w:rPr>
          <w:rFonts w:ascii="Arial" w:hAnsi="Arial" w:cs="Arial"/>
          <w:i/>
        </w:rPr>
        <w:t xml:space="preserve"> (Affordable Housing) 2011</w:t>
      </w:r>
      <w:r w:rsidR="00A802C9" w:rsidRPr="00C94627">
        <w:rPr>
          <w:rFonts w:ascii="Arial" w:hAnsi="Arial" w:cs="Arial"/>
          <w:i/>
        </w:rPr>
        <w:t xml:space="preserve"> </w:t>
      </w:r>
      <w:r w:rsidR="009A27E9" w:rsidRPr="00C94627">
        <w:rPr>
          <w:rFonts w:ascii="Arial" w:eastAsia="Times New Roman" w:hAnsi="Arial" w:cs="Arial"/>
          <w:lang w:eastAsia="en-AU"/>
        </w:rPr>
        <w:t>policy statement</w:t>
      </w:r>
      <w:r w:rsidR="002A66D6">
        <w:rPr>
          <w:rFonts w:ascii="Arial" w:eastAsia="Times New Roman" w:hAnsi="Arial" w:cs="Arial"/>
          <w:lang w:eastAsia="en-AU"/>
        </w:rPr>
        <w:t xml:space="preserve">, </w:t>
      </w:r>
      <w:r w:rsidR="00A802C9" w:rsidRPr="00C94627">
        <w:rPr>
          <w:rFonts w:ascii="Arial" w:hAnsi="Arial" w:cs="Arial"/>
        </w:rPr>
        <w:t>an action to</w:t>
      </w:r>
      <w:r w:rsidR="002A66D6">
        <w:rPr>
          <w:rFonts w:ascii="Arial" w:hAnsi="Arial" w:cs="Arial"/>
        </w:rPr>
        <w:t xml:space="preserve"> is</w:t>
      </w:r>
      <w:r w:rsidR="00A802C9" w:rsidRPr="00C94627">
        <w:rPr>
          <w:rFonts w:ascii="Arial" w:hAnsi="Arial" w:cs="Arial"/>
        </w:rPr>
        <w:t xml:space="preserve"> “</w:t>
      </w:r>
      <w:r w:rsidR="00A802C9" w:rsidRPr="00C94627">
        <w:rPr>
          <w:rFonts w:ascii="Arial" w:hAnsi="Arial" w:cs="Arial"/>
          <w:i/>
        </w:rPr>
        <w:t>encourage 10% inclusion if affordable housing for low income households in all redevelopment sites identified in the Industrial Land Management Strategy as well as key development sites across the municipality</w:t>
      </w:r>
      <w:r w:rsidR="002A66D6">
        <w:rPr>
          <w:rFonts w:ascii="Arial" w:hAnsi="Arial" w:cs="Arial"/>
          <w:i/>
        </w:rPr>
        <w:t>.</w:t>
      </w:r>
      <w:r w:rsidR="00A802C9" w:rsidRPr="00C94627">
        <w:rPr>
          <w:rFonts w:ascii="Arial" w:hAnsi="Arial" w:cs="Arial"/>
        </w:rPr>
        <w:t xml:space="preserve">” These sites are generally former industrial sites, of which there is a very limited supply </w:t>
      </w:r>
      <w:r w:rsidR="009A27E9" w:rsidRPr="00C94627">
        <w:rPr>
          <w:rFonts w:ascii="Arial" w:hAnsi="Arial" w:cs="Arial"/>
        </w:rPr>
        <w:t>in Hobsons Bay. Part of the intent of the</w:t>
      </w:r>
      <w:r w:rsidRPr="00C94627">
        <w:rPr>
          <w:rFonts w:ascii="Arial" w:hAnsi="Arial" w:cs="Arial"/>
        </w:rPr>
        <w:t xml:space="preserve"> policy statement wa</w:t>
      </w:r>
      <w:r w:rsidR="00A802C9" w:rsidRPr="00C94627">
        <w:rPr>
          <w:rFonts w:ascii="Arial" w:hAnsi="Arial" w:cs="Arial"/>
        </w:rPr>
        <w:t xml:space="preserve">s to </w:t>
      </w:r>
      <w:r w:rsidR="009A27E9" w:rsidRPr="00C94627">
        <w:rPr>
          <w:rFonts w:ascii="Arial" w:hAnsi="Arial" w:cs="Arial"/>
        </w:rPr>
        <w:t xml:space="preserve">help strengthen </w:t>
      </w:r>
      <w:r w:rsidR="00A802C9" w:rsidRPr="00C94627">
        <w:rPr>
          <w:rFonts w:ascii="Arial" w:hAnsi="Arial" w:cs="Arial"/>
        </w:rPr>
        <w:t xml:space="preserve">the Council </w:t>
      </w:r>
      <w:r w:rsidR="009A27E9" w:rsidRPr="00C94627">
        <w:rPr>
          <w:rFonts w:ascii="Arial" w:hAnsi="Arial" w:cs="Arial"/>
        </w:rPr>
        <w:t>capacity to</w:t>
      </w:r>
      <w:r w:rsidR="00A802C9" w:rsidRPr="00C94627">
        <w:rPr>
          <w:rFonts w:ascii="Arial" w:hAnsi="Arial" w:cs="Arial"/>
        </w:rPr>
        <w:t xml:space="preserve"> influence the supply of affordable rentals </w:t>
      </w:r>
      <w:r w:rsidRPr="00C94627">
        <w:rPr>
          <w:rFonts w:ascii="Arial" w:hAnsi="Arial" w:cs="Arial"/>
        </w:rPr>
        <w:t>on these sites</w:t>
      </w:r>
      <w:r w:rsidR="00A802C9" w:rsidRPr="00C94627">
        <w:rPr>
          <w:rFonts w:ascii="Arial" w:hAnsi="Arial" w:cs="Arial"/>
        </w:rPr>
        <w:t xml:space="preserve">. </w:t>
      </w:r>
    </w:p>
    <w:p w:rsidR="00A802C9" w:rsidRPr="00C94627" w:rsidRDefault="00A802C9" w:rsidP="00C94627">
      <w:pPr>
        <w:spacing w:after="0" w:line="240" w:lineRule="auto"/>
        <w:jc w:val="both"/>
        <w:rPr>
          <w:rFonts w:ascii="Arial" w:hAnsi="Arial" w:cs="Arial"/>
        </w:rPr>
      </w:pPr>
    </w:p>
    <w:p w:rsidR="00B90058" w:rsidRDefault="00A802C9" w:rsidP="00C94627">
      <w:pPr>
        <w:spacing w:after="0" w:line="240" w:lineRule="auto"/>
        <w:jc w:val="both"/>
        <w:rPr>
          <w:rFonts w:ascii="Arial" w:hAnsi="Arial" w:cs="Arial"/>
        </w:rPr>
      </w:pPr>
      <w:r w:rsidRPr="00C94627">
        <w:rPr>
          <w:rFonts w:ascii="Arial" w:hAnsi="Arial" w:cs="Arial"/>
        </w:rPr>
        <w:t>To date, the outcomes have been mixed</w:t>
      </w:r>
      <w:r w:rsidR="007C0062" w:rsidRPr="00C94627">
        <w:rPr>
          <w:rFonts w:ascii="Arial" w:hAnsi="Arial" w:cs="Arial"/>
        </w:rPr>
        <w:t xml:space="preserve">. </w:t>
      </w:r>
      <w:r w:rsidRPr="00C94627">
        <w:rPr>
          <w:rFonts w:ascii="Arial" w:hAnsi="Arial" w:cs="Arial"/>
        </w:rPr>
        <w:t>Several developers have commit</w:t>
      </w:r>
      <w:r w:rsidR="00446ABF" w:rsidRPr="00C94627">
        <w:rPr>
          <w:rFonts w:ascii="Arial" w:hAnsi="Arial" w:cs="Arial"/>
        </w:rPr>
        <w:t>t</w:t>
      </w:r>
      <w:r w:rsidR="00C906A9">
        <w:rPr>
          <w:rFonts w:ascii="Arial" w:hAnsi="Arial" w:cs="Arial"/>
        </w:rPr>
        <w:t>ed</w:t>
      </w:r>
      <w:r w:rsidRPr="00C94627">
        <w:rPr>
          <w:rFonts w:ascii="Arial" w:hAnsi="Arial" w:cs="Arial"/>
        </w:rPr>
        <w:t xml:space="preserve"> to delivering affordable rentals while another has </w:t>
      </w:r>
      <w:r w:rsidR="007C0062" w:rsidRPr="00C94627">
        <w:rPr>
          <w:rFonts w:ascii="Arial" w:hAnsi="Arial" w:cs="Arial"/>
        </w:rPr>
        <w:t xml:space="preserve">recently and </w:t>
      </w:r>
      <w:r w:rsidRPr="00C94627">
        <w:rPr>
          <w:rFonts w:ascii="Arial" w:hAnsi="Arial" w:cs="Arial"/>
        </w:rPr>
        <w:t>successfully appealed to the Victorian Administrative Appeals Tribunal (VCAT)</w:t>
      </w:r>
      <w:r w:rsidR="00C906A9">
        <w:rPr>
          <w:rFonts w:ascii="Arial" w:hAnsi="Arial" w:cs="Arial"/>
        </w:rPr>
        <w:t xml:space="preserve"> to remove this requirement</w:t>
      </w:r>
      <w:r w:rsidRPr="00C94627">
        <w:rPr>
          <w:rFonts w:ascii="Arial" w:hAnsi="Arial" w:cs="Arial"/>
        </w:rPr>
        <w:t>. VCAT’s decision stated “</w:t>
      </w:r>
      <w:r w:rsidRPr="00C94627">
        <w:rPr>
          <w:rFonts w:ascii="Arial" w:hAnsi="Arial" w:cs="Arial"/>
          <w:i/>
        </w:rPr>
        <w:t xml:space="preserve">the imposition of conditions requiring things such as the provision of at least 10 per cent of affordable housing and a development contribution levy, integrated art plan to be inappropriate and, in some instances, unlawful.”  </w:t>
      </w:r>
      <w:r w:rsidR="007C0062" w:rsidRPr="00C94627">
        <w:rPr>
          <w:rFonts w:ascii="Arial" w:hAnsi="Arial" w:cs="Arial"/>
        </w:rPr>
        <w:t xml:space="preserve">This ruling raises concerns that future attempts by </w:t>
      </w:r>
      <w:r w:rsidR="002A66D6">
        <w:rPr>
          <w:rFonts w:ascii="Arial" w:hAnsi="Arial" w:cs="Arial"/>
        </w:rPr>
        <w:t xml:space="preserve">the </w:t>
      </w:r>
      <w:r w:rsidR="007C0062" w:rsidRPr="00C94627">
        <w:rPr>
          <w:rFonts w:ascii="Arial" w:hAnsi="Arial" w:cs="Arial"/>
        </w:rPr>
        <w:t>Council to use this method will again be challenged a</w:t>
      </w:r>
      <w:r w:rsidR="002A66D6">
        <w:rPr>
          <w:rFonts w:ascii="Arial" w:hAnsi="Arial" w:cs="Arial"/>
        </w:rPr>
        <w:t>t</w:t>
      </w:r>
      <w:r w:rsidR="007C0062" w:rsidRPr="00C94627">
        <w:rPr>
          <w:rFonts w:ascii="Arial" w:hAnsi="Arial" w:cs="Arial"/>
        </w:rPr>
        <w:t xml:space="preserve"> VCAT, which is a lengthy and very cos</w:t>
      </w:r>
      <w:r w:rsidR="00CB07B8" w:rsidRPr="00C94627">
        <w:rPr>
          <w:rFonts w:ascii="Arial" w:hAnsi="Arial" w:cs="Arial"/>
        </w:rPr>
        <w:t xml:space="preserve">tly process for all concerned. </w:t>
      </w:r>
    </w:p>
    <w:p w:rsidR="00B90058" w:rsidRDefault="00B90058" w:rsidP="00C94627">
      <w:pPr>
        <w:spacing w:after="0" w:line="240" w:lineRule="auto"/>
        <w:jc w:val="both"/>
        <w:rPr>
          <w:rFonts w:ascii="Arial" w:hAnsi="Arial" w:cs="Arial"/>
        </w:rPr>
      </w:pPr>
    </w:p>
    <w:p w:rsidR="0085455D" w:rsidRDefault="000406F4" w:rsidP="00C94627">
      <w:pPr>
        <w:spacing w:after="0" w:line="240" w:lineRule="auto"/>
        <w:jc w:val="both"/>
        <w:rPr>
          <w:rFonts w:ascii="Arial" w:hAnsi="Arial" w:cs="Arial"/>
        </w:rPr>
      </w:pPr>
      <w:r>
        <w:rPr>
          <w:rFonts w:ascii="Arial" w:hAnsi="Arial" w:cs="Arial"/>
        </w:rPr>
        <w:t xml:space="preserve">Should Victoria proceed </w:t>
      </w:r>
      <w:r w:rsidR="00850DB0">
        <w:rPr>
          <w:rFonts w:ascii="Arial" w:hAnsi="Arial" w:cs="Arial"/>
        </w:rPr>
        <w:t>with an expansion of the community housing sector, as appears likely, compulsory contributions from developers</w:t>
      </w:r>
      <w:r w:rsidR="00B90058">
        <w:rPr>
          <w:rFonts w:ascii="Arial" w:hAnsi="Arial" w:cs="Arial"/>
        </w:rPr>
        <w:t xml:space="preserve"> and or funding from state and federal government</w:t>
      </w:r>
      <w:r w:rsidR="00850DB0">
        <w:rPr>
          <w:rFonts w:ascii="Arial" w:hAnsi="Arial" w:cs="Arial"/>
        </w:rPr>
        <w:t xml:space="preserve"> must be included </w:t>
      </w:r>
      <w:r w:rsidR="00B90058">
        <w:rPr>
          <w:rFonts w:ascii="Arial" w:hAnsi="Arial" w:cs="Arial"/>
        </w:rPr>
        <w:t>to enable the affordable housing</w:t>
      </w:r>
      <w:r w:rsidR="00850DB0">
        <w:rPr>
          <w:rFonts w:ascii="Arial" w:hAnsi="Arial" w:cs="Arial"/>
        </w:rPr>
        <w:t xml:space="preserve"> sector</w:t>
      </w:r>
      <w:r w:rsidR="00B90058">
        <w:rPr>
          <w:rFonts w:ascii="Arial" w:hAnsi="Arial" w:cs="Arial"/>
        </w:rPr>
        <w:t xml:space="preserve"> </w:t>
      </w:r>
      <w:r w:rsidR="00850DB0">
        <w:rPr>
          <w:rFonts w:ascii="Arial" w:hAnsi="Arial" w:cs="Arial"/>
        </w:rPr>
        <w:t>to buy, develop and maintain affordable housing.</w:t>
      </w:r>
      <w:r w:rsidR="00B90058">
        <w:rPr>
          <w:rFonts w:ascii="Arial" w:hAnsi="Arial" w:cs="Arial"/>
        </w:rPr>
        <w:t xml:space="preserve">  In addition, w</w:t>
      </w:r>
      <w:r w:rsidR="00A802C9" w:rsidRPr="00C94627">
        <w:rPr>
          <w:rFonts w:ascii="Arial" w:hAnsi="Arial" w:cs="Arial"/>
        </w:rPr>
        <w:t xml:space="preserve">ithout any legislative requirement in place, it is clear the Council’s commitment to increasing rental affordability for low income households in our municipality is likely to be </w:t>
      </w:r>
      <w:r w:rsidR="00446ABF" w:rsidRPr="00C94627">
        <w:rPr>
          <w:rFonts w:ascii="Arial" w:hAnsi="Arial" w:cs="Arial"/>
        </w:rPr>
        <w:t>curtailed</w:t>
      </w:r>
      <w:r w:rsidR="00A802C9" w:rsidRPr="00C94627">
        <w:rPr>
          <w:rFonts w:ascii="Arial" w:hAnsi="Arial" w:cs="Arial"/>
        </w:rPr>
        <w:t xml:space="preserve">. </w:t>
      </w:r>
    </w:p>
    <w:p w:rsidR="002A66D6" w:rsidRDefault="002A66D6" w:rsidP="00C94627">
      <w:pPr>
        <w:spacing w:after="0" w:line="240" w:lineRule="auto"/>
        <w:jc w:val="both"/>
        <w:rPr>
          <w:rFonts w:ascii="Arial" w:hAnsi="Arial" w:cs="Arial"/>
        </w:rPr>
      </w:pPr>
    </w:p>
    <w:p w:rsidR="00850DB0" w:rsidRDefault="002A66D6" w:rsidP="00C94627">
      <w:pPr>
        <w:spacing w:after="0" w:line="240" w:lineRule="auto"/>
        <w:jc w:val="both"/>
        <w:rPr>
          <w:rFonts w:ascii="Arial" w:hAnsi="Arial" w:cs="Arial"/>
        </w:rPr>
      </w:pPr>
      <w:r w:rsidRPr="0044492B">
        <w:rPr>
          <w:rFonts w:ascii="Arial" w:hAnsi="Arial" w:cs="Arial"/>
          <w:b/>
        </w:rPr>
        <w:t>Recommendation</w:t>
      </w:r>
      <w:r w:rsidR="00850DB0" w:rsidRPr="0044492B">
        <w:rPr>
          <w:rFonts w:ascii="Arial" w:hAnsi="Arial" w:cs="Arial"/>
          <w:b/>
        </w:rPr>
        <w:t xml:space="preserve"> </w:t>
      </w:r>
      <w:r w:rsidR="0044492B" w:rsidRPr="0044492B">
        <w:rPr>
          <w:rFonts w:ascii="Arial" w:hAnsi="Arial" w:cs="Arial"/>
          <w:b/>
        </w:rPr>
        <w:t>4</w:t>
      </w:r>
      <w:r>
        <w:rPr>
          <w:rFonts w:ascii="Arial" w:hAnsi="Arial" w:cs="Arial"/>
        </w:rPr>
        <w:t xml:space="preserve">: </w:t>
      </w:r>
      <w:r w:rsidR="00850DB0">
        <w:rPr>
          <w:rFonts w:ascii="Arial" w:hAnsi="Arial" w:cs="Arial"/>
        </w:rPr>
        <w:t>Continue to fund NRAS and undertake a review of the 10 year sunset clause in order to identify the likely impacts on housing supply for moderate income hous</w:t>
      </w:r>
      <w:r w:rsidR="002441F3">
        <w:rPr>
          <w:rFonts w:ascii="Arial" w:hAnsi="Arial" w:cs="Arial"/>
        </w:rPr>
        <w:t>e</w:t>
      </w:r>
      <w:r w:rsidR="00850DB0">
        <w:rPr>
          <w:rFonts w:ascii="Arial" w:hAnsi="Arial" w:cs="Arial"/>
        </w:rPr>
        <w:t>holds</w:t>
      </w:r>
      <w:r w:rsidR="00C906A9">
        <w:rPr>
          <w:rFonts w:ascii="Arial" w:hAnsi="Arial" w:cs="Arial"/>
        </w:rPr>
        <w:t>.</w:t>
      </w:r>
    </w:p>
    <w:p w:rsidR="00850DB0" w:rsidRDefault="00850DB0" w:rsidP="00C94627">
      <w:pPr>
        <w:spacing w:after="0" w:line="240" w:lineRule="auto"/>
        <w:jc w:val="both"/>
        <w:rPr>
          <w:rFonts w:ascii="Arial" w:hAnsi="Arial" w:cs="Arial"/>
        </w:rPr>
      </w:pPr>
    </w:p>
    <w:p w:rsidR="00446ABF" w:rsidRPr="00C94627" w:rsidRDefault="0044492B" w:rsidP="00C94627">
      <w:pPr>
        <w:spacing w:after="0" w:line="240" w:lineRule="auto"/>
        <w:jc w:val="both"/>
        <w:rPr>
          <w:rFonts w:ascii="Arial" w:hAnsi="Arial" w:cs="Arial"/>
        </w:rPr>
      </w:pPr>
      <w:r w:rsidRPr="0044492B">
        <w:rPr>
          <w:rFonts w:ascii="Arial" w:hAnsi="Arial" w:cs="Arial"/>
          <w:b/>
        </w:rPr>
        <w:t>Recommendation 5</w:t>
      </w:r>
      <w:r>
        <w:rPr>
          <w:rFonts w:ascii="Arial" w:hAnsi="Arial" w:cs="Arial"/>
        </w:rPr>
        <w:t>:</w:t>
      </w:r>
      <w:r w:rsidR="00850DB0">
        <w:rPr>
          <w:rFonts w:ascii="Arial" w:hAnsi="Arial" w:cs="Arial"/>
        </w:rPr>
        <w:t xml:space="preserve"> Introduce a system </w:t>
      </w:r>
      <w:r w:rsidR="00745853">
        <w:rPr>
          <w:rFonts w:ascii="Arial" w:hAnsi="Arial" w:cs="Arial"/>
        </w:rPr>
        <w:t xml:space="preserve">to enable </w:t>
      </w:r>
      <w:r w:rsidR="00850DB0">
        <w:rPr>
          <w:rFonts w:ascii="Arial" w:hAnsi="Arial" w:cs="Arial"/>
        </w:rPr>
        <w:t>compulsory contributions for developers of larger residential development sites to fund an increase of social housing.</w:t>
      </w:r>
    </w:p>
    <w:p w:rsidR="00632C03" w:rsidRDefault="00632C03" w:rsidP="00C94627">
      <w:pPr>
        <w:spacing w:after="0" w:line="240" w:lineRule="auto"/>
        <w:jc w:val="both"/>
        <w:rPr>
          <w:rFonts w:ascii="Arial" w:eastAsia="Times New Roman" w:hAnsi="Arial" w:cs="Arial"/>
          <w:b/>
          <w:color w:val="76923C" w:themeColor="accent3" w:themeShade="BF"/>
          <w:lang w:eastAsia="en-AU"/>
        </w:rPr>
      </w:pPr>
    </w:p>
    <w:p w:rsidR="00632C03" w:rsidRDefault="00632C03" w:rsidP="00C94627">
      <w:pPr>
        <w:spacing w:after="0" w:line="240" w:lineRule="auto"/>
        <w:jc w:val="both"/>
        <w:rPr>
          <w:rFonts w:ascii="Arial" w:eastAsia="Times New Roman" w:hAnsi="Arial" w:cs="Arial"/>
          <w:b/>
          <w:color w:val="76923C" w:themeColor="accent3" w:themeShade="BF"/>
          <w:lang w:eastAsia="en-AU"/>
        </w:rPr>
      </w:pPr>
    </w:p>
    <w:p w:rsidR="007252F9" w:rsidRPr="005F36DB" w:rsidRDefault="006C4107" w:rsidP="00C94627">
      <w:pPr>
        <w:spacing w:after="0" w:line="240" w:lineRule="auto"/>
        <w:jc w:val="both"/>
        <w:rPr>
          <w:rFonts w:ascii="Arial" w:eastAsia="Times New Roman" w:hAnsi="Arial" w:cs="Arial"/>
          <w:b/>
          <w:color w:val="76923C" w:themeColor="accent3" w:themeShade="BF"/>
          <w:lang w:eastAsia="en-AU"/>
        </w:rPr>
      </w:pPr>
      <w:r w:rsidRPr="006C4107">
        <w:rPr>
          <w:rFonts w:ascii="Arial" w:eastAsia="Times New Roman" w:hAnsi="Arial" w:cs="Arial"/>
          <w:b/>
          <w:color w:val="76923C" w:themeColor="accent3" w:themeShade="BF"/>
          <w:lang w:eastAsia="en-AU"/>
        </w:rPr>
        <w:t>The role of government in the provision of social (public and community) housing</w:t>
      </w:r>
    </w:p>
    <w:p w:rsidR="00446ABF" w:rsidRPr="00C94627" w:rsidRDefault="007252F9" w:rsidP="00A31D01">
      <w:pPr>
        <w:spacing w:before="120" w:after="0" w:line="240" w:lineRule="auto"/>
        <w:jc w:val="both"/>
        <w:rPr>
          <w:rFonts w:ascii="Arial" w:hAnsi="Arial" w:cs="Arial"/>
        </w:rPr>
      </w:pPr>
      <w:r w:rsidRPr="00C94627">
        <w:rPr>
          <w:rFonts w:ascii="Arial" w:eastAsia="Times New Roman" w:hAnsi="Arial" w:cs="Arial"/>
          <w:lang w:eastAsia="en-AU"/>
        </w:rPr>
        <w:t xml:space="preserve">In mid 2012, </w:t>
      </w:r>
      <w:r w:rsidR="0085455D" w:rsidRPr="00C94627">
        <w:rPr>
          <w:rFonts w:ascii="Arial" w:eastAsia="Times New Roman" w:hAnsi="Arial" w:cs="Arial"/>
          <w:lang w:eastAsia="en-AU"/>
        </w:rPr>
        <w:t xml:space="preserve">the Victorian Government released a discussion paper called </w:t>
      </w:r>
      <w:r w:rsidR="0085455D" w:rsidRPr="00C94627">
        <w:rPr>
          <w:rFonts w:ascii="Arial" w:hAnsi="Arial" w:cs="Arial"/>
          <w:i/>
        </w:rPr>
        <w:t xml:space="preserve">Pathways to a Fair and Sustainable Social Housing System </w:t>
      </w:r>
      <w:r w:rsidR="0085455D" w:rsidRPr="00C94627">
        <w:rPr>
          <w:rFonts w:ascii="Arial" w:hAnsi="Arial" w:cs="Arial"/>
        </w:rPr>
        <w:t>in which it posed a range</w:t>
      </w:r>
      <w:r w:rsidRPr="00C94627">
        <w:rPr>
          <w:rFonts w:ascii="Arial" w:hAnsi="Arial" w:cs="Arial"/>
        </w:rPr>
        <w:t xml:space="preserve"> of questions including whether</w:t>
      </w:r>
      <w:r w:rsidR="0085455D" w:rsidRPr="00C94627">
        <w:rPr>
          <w:rFonts w:ascii="Arial" w:hAnsi="Arial" w:cs="Arial"/>
        </w:rPr>
        <w:t xml:space="preserve"> </w:t>
      </w:r>
      <w:r w:rsidR="00446ABF" w:rsidRPr="00C94627">
        <w:rPr>
          <w:rFonts w:ascii="Arial" w:hAnsi="Arial" w:cs="Arial"/>
        </w:rPr>
        <w:t>it</w:t>
      </w:r>
      <w:r w:rsidR="0085455D" w:rsidRPr="00C94627">
        <w:rPr>
          <w:rFonts w:ascii="Arial" w:hAnsi="Arial" w:cs="Arial"/>
        </w:rPr>
        <w:t xml:space="preserve"> </w:t>
      </w:r>
      <w:r w:rsidR="00CB07B8" w:rsidRPr="00C94627">
        <w:rPr>
          <w:rFonts w:ascii="Arial" w:hAnsi="Arial" w:cs="Arial"/>
        </w:rPr>
        <w:t>‘</w:t>
      </w:r>
      <w:r w:rsidRPr="00C94627">
        <w:rPr>
          <w:rFonts w:ascii="Arial" w:hAnsi="Arial" w:cs="Arial"/>
        </w:rPr>
        <w:t>should own and manage such a large housing portfolio</w:t>
      </w:r>
      <w:r w:rsidR="00CB07B8" w:rsidRPr="00C94627">
        <w:rPr>
          <w:rFonts w:ascii="Arial" w:hAnsi="Arial" w:cs="Arial"/>
        </w:rPr>
        <w:t>’</w:t>
      </w:r>
      <w:r w:rsidRPr="00C94627">
        <w:rPr>
          <w:rFonts w:ascii="Arial" w:hAnsi="Arial" w:cs="Arial"/>
        </w:rPr>
        <w:t xml:space="preserve"> and whether </w:t>
      </w:r>
      <w:r w:rsidR="00CB07B8" w:rsidRPr="00C94627">
        <w:rPr>
          <w:rFonts w:ascii="Arial" w:hAnsi="Arial" w:cs="Arial"/>
        </w:rPr>
        <w:t>‘</w:t>
      </w:r>
      <w:r w:rsidRPr="00C94627">
        <w:rPr>
          <w:rFonts w:ascii="Arial" w:hAnsi="Arial" w:cs="Arial"/>
        </w:rPr>
        <w:t>the community sector should take on a greater ownership or management role</w:t>
      </w:r>
      <w:r w:rsidR="005F36DB">
        <w:rPr>
          <w:rFonts w:ascii="Arial" w:hAnsi="Arial" w:cs="Arial"/>
        </w:rPr>
        <w:t>.</w:t>
      </w:r>
      <w:r w:rsidR="00CB07B8" w:rsidRPr="00C94627">
        <w:rPr>
          <w:rFonts w:ascii="Arial" w:hAnsi="Arial" w:cs="Arial"/>
        </w:rPr>
        <w:t>’</w:t>
      </w:r>
      <w:r w:rsidRPr="00C94627">
        <w:rPr>
          <w:rFonts w:ascii="Arial" w:hAnsi="Arial" w:cs="Arial"/>
        </w:rPr>
        <w:t xml:space="preserve"> Whilst not explicitly stated, there was an implication </w:t>
      </w:r>
      <w:r w:rsidR="00446ABF" w:rsidRPr="00C94627">
        <w:rPr>
          <w:rFonts w:ascii="Arial" w:hAnsi="Arial" w:cs="Arial"/>
        </w:rPr>
        <w:t>that the Victorian Government i</w:t>
      </w:r>
      <w:r w:rsidRPr="00C94627">
        <w:rPr>
          <w:rFonts w:ascii="Arial" w:hAnsi="Arial" w:cs="Arial"/>
        </w:rPr>
        <w:t xml:space="preserve">s considering divesting itself of </w:t>
      </w:r>
      <w:r w:rsidR="00446ABF" w:rsidRPr="00C94627">
        <w:rPr>
          <w:rFonts w:ascii="Arial" w:hAnsi="Arial" w:cs="Arial"/>
        </w:rPr>
        <w:t xml:space="preserve">its </w:t>
      </w:r>
      <w:r w:rsidRPr="00C94627">
        <w:rPr>
          <w:rFonts w:ascii="Arial" w:hAnsi="Arial" w:cs="Arial"/>
        </w:rPr>
        <w:t xml:space="preserve">public housing stock, a position which the Hobsons Bay City Council </w:t>
      </w:r>
      <w:r w:rsidR="00F300B3">
        <w:rPr>
          <w:rFonts w:ascii="Arial" w:hAnsi="Arial" w:cs="Arial"/>
        </w:rPr>
        <w:t>does not support</w:t>
      </w:r>
      <w:r w:rsidRPr="00C94627">
        <w:rPr>
          <w:rFonts w:ascii="Arial" w:hAnsi="Arial" w:cs="Arial"/>
        </w:rPr>
        <w:t xml:space="preserve">. </w:t>
      </w:r>
    </w:p>
    <w:p w:rsidR="00446ABF" w:rsidRPr="00C94627" w:rsidRDefault="00446ABF" w:rsidP="00C94627">
      <w:pPr>
        <w:spacing w:after="0" w:line="240" w:lineRule="auto"/>
        <w:jc w:val="both"/>
        <w:rPr>
          <w:rFonts w:ascii="Arial" w:hAnsi="Arial" w:cs="Arial"/>
        </w:rPr>
      </w:pPr>
    </w:p>
    <w:p w:rsidR="00BA6883" w:rsidRPr="00C94627" w:rsidRDefault="00446ABF" w:rsidP="00C94627">
      <w:pPr>
        <w:spacing w:after="0" w:line="240" w:lineRule="auto"/>
        <w:jc w:val="both"/>
        <w:rPr>
          <w:rFonts w:ascii="Arial" w:hAnsi="Arial" w:cs="Arial"/>
        </w:rPr>
      </w:pPr>
      <w:r w:rsidRPr="00C94627">
        <w:rPr>
          <w:rFonts w:ascii="Arial" w:hAnsi="Arial" w:cs="Arial"/>
        </w:rPr>
        <w:t>In the paper, t</w:t>
      </w:r>
      <w:r w:rsidR="00922EB3" w:rsidRPr="00C94627">
        <w:rPr>
          <w:rFonts w:ascii="Arial" w:hAnsi="Arial" w:cs="Arial"/>
        </w:rPr>
        <w:t xml:space="preserve">he Victorian Government points to </w:t>
      </w:r>
      <w:r w:rsidRPr="00C94627">
        <w:rPr>
          <w:rFonts w:ascii="Arial" w:hAnsi="Arial" w:cs="Arial"/>
        </w:rPr>
        <w:t xml:space="preserve">the </w:t>
      </w:r>
      <w:r w:rsidR="00922EB3" w:rsidRPr="00C94627">
        <w:rPr>
          <w:rFonts w:ascii="Arial" w:hAnsi="Arial" w:cs="Arial"/>
        </w:rPr>
        <w:t xml:space="preserve">high cost of maintenance and </w:t>
      </w:r>
      <w:r w:rsidRPr="00C94627">
        <w:rPr>
          <w:rFonts w:ascii="Arial" w:hAnsi="Arial" w:cs="Arial"/>
        </w:rPr>
        <w:t>poses</w:t>
      </w:r>
      <w:r w:rsidR="00922EB3" w:rsidRPr="00C94627">
        <w:rPr>
          <w:rFonts w:ascii="Arial" w:hAnsi="Arial" w:cs="Arial"/>
        </w:rPr>
        <w:t xml:space="preserve"> questions about </w:t>
      </w:r>
      <w:r w:rsidR="0071430D" w:rsidRPr="00C94627">
        <w:rPr>
          <w:rFonts w:ascii="Arial" w:hAnsi="Arial" w:cs="Arial"/>
        </w:rPr>
        <w:t>the eligibili</w:t>
      </w:r>
      <w:r w:rsidRPr="00C94627">
        <w:rPr>
          <w:rFonts w:ascii="Arial" w:hAnsi="Arial" w:cs="Arial"/>
        </w:rPr>
        <w:t>ty of tenants</w:t>
      </w:r>
      <w:r w:rsidR="0071430D" w:rsidRPr="00C94627">
        <w:rPr>
          <w:rFonts w:ascii="Arial" w:hAnsi="Arial" w:cs="Arial"/>
        </w:rPr>
        <w:t xml:space="preserve"> as</w:t>
      </w:r>
      <w:r w:rsidR="00922EB3" w:rsidRPr="00C94627">
        <w:rPr>
          <w:rFonts w:ascii="Arial" w:hAnsi="Arial" w:cs="Arial"/>
        </w:rPr>
        <w:t xml:space="preserve"> issues it is considering. The Council is concerned on several levels. </w:t>
      </w:r>
      <w:r w:rsidR="0071430D" w:rsidRPr="00C94627">
        <w:rPr>
          <w:rFonts w:ascii="Arial" w:hAnsi="Arial" w:cs="Arial"/>
        </w:rPr>
        <w:t xml:space="preserve">In order to </w:t>
      </w:r>
      <w:r w:rsidRPr="00C94627">
        <w:rPr>
          <w:rFonts w:ascii="Arial" w:hAnsi="Arial" w:cs="Arial"/>
        </w:rPr>
        <w:t>ensure</w:t>
      </w:r>
      <w:r w:rsidR="0071430D" w:rsidRPr="00C94627">
        <w:rPr>
          <w:rFonts w:ascii="Arial" w:hAnsi="Arial" w:cs="Arial"/>
        </w:rPr>
        <w:t xml:space="preserve"> the ongoing supply of social housing, the Victorian Government </w:t>
      </w:r>
      <w:r w:rsidRPr="00C94627">
        <w:rPr>
          <w:rFonts w:ascii="Arial" w:hAnsi="Arial" w:cs="Arial"/>
        </w:rPr>
        <w:t>must</w:t>
      </w:r>
      <w:r w:rsidR="0071430D" w:rsidRPr="00C94627">
        <w:rPr>
          <w:rFonts w:ascii="Arial" w:hAnsi="Arial" w:cs="Arial"/>
        </w:rPr>
        <w:t xml:space="preserve"> participate in the delivery of social housing. Should the Victorian Government decide to withdraw or reduce its role, </w:t>
      </w:r>
      <w:r w:rsidR="00BA6883" w:rsidRPr="00C94627">
        <w:rPr>
          <w:rFonts w:ascii="Arial" w:hAnsi="Arial" w:cs="Arial"/>
        </w:rPr>
        <w:t xml:space="preserve">it would merely be passing on the financial problems it is currently grappling with to an under resourced </w:t>
      </w:r>
      <w:r w:rsidR="0071430D" w:rsidRPr="00C94627">
        <w:rPr>
          <w:rFonts w:ascii="Arial" w:hAnsi="Arial" w:cs="Arial"/>
        </w:rPr>
        <w:t xml:space="preserve">community sector. </w:t>
      </w:r>
    </w:p>
    <w:p w:rsidR="00BA6883" w:rsidRPr="00C94627" w:rsidRDefault="00BA6883" w:rsidP="00C94627">
      <w:pPr>
        <w:spacing w:after="0" w:line="240" w:lineRule="auto"/>
        <w:jc w:val="both"/>
        <w:rPr>
          <w:rFonts w:ascii="Arial" w:hAnsi="Arial" w:cs="Arial"/>
        </w:rPr>
      </w:pPr>
    </w:p>
    <w:p w:rsidR="00D80137" w:rsidRPr="00C94627" w:rsidRDefault="00BA6883" w:rsidP="00C94627">
      <w:pPr>
        <w:spacing w:after="0" w:line="240" w:lineRule="auto"/>
        <w:jc w:val="both"/>
        <w:rPr>
          <w:rFonts w:ascii="Arial" w:hAnsi="Arial" w:cs="Arial"/>
        </w:rPr>
      </w:pPr>
      <w:r w:rsidRPr="00C94627">
        <w:rPr>
          <w:rFonts w:ascii="Arial" w:hAnsi="Arial" w:cs="Arial"/>
        </w:rPr>
        <w:t xml:space="preserve">In terms of equity and fairness, </w:t>
      </w:r>
      <w:r w:rsidR="005F36DB">
        <w:rPr>
          <w:rFonts w:ascii="Arial" w:hAnsi="Arial" w:cs="Arial"/>
        </w:rPr>
        <w:t>g</w:t>
      </w:r>
      <w:r w:rsidR="00922EB3" w:rsidRPr="00C94627">
        <w:rPr>
          <w:rFonts w:ascii="Arial" w:hAnsi="Arial" w:cs="Arial"/>
        </w:rPr>
        <w:t xml:space="preserve">overnment must take responsibility in ensuring a supply of affordable housing is available for those who </w:t>
      </w:r>
      <w:r w:rsidR="0071430D" w:rsidRPr="00C94627">
        <w:rPr>
          <w:rFonts w:ascii="Arial" w:hAnsi="Arial" w:cs="Arial"/>
        </w:rPr>
        <w:t>are most vulnerable. In addition, t</w:t>
      </w:r>
      <w:r w:rsidR="00922EB3" w:rsidRPr="00C94627">
        <w:rPr>
          <w:rFonts w:ascii="Arial" w:hAnsi="Arial" w:cs="Arial"/>
        </w:rPr>
        <w:t xml:space="preserve">he supply of public housing has remained relatively unchanged for some time and requires a large funding injection if it is to cater for more than </w:t>
      </w:r>
      <w:r w:rsidR="005F36DB">
        <w:rPr>
          <w:rFonts w:ascii="Arial" w:hAnsi="Arial" w:cs="Arial"/>
        </w:rPr>
        <w:t>just the urgent housing cases and</w:t>
      </w:r>
      <w:r w:rsidR="00D80137" w:rsidRPr="00C94627">
        <w:rPr>
          <w:rFonts w:ascii="Arial" w:hAnsi="Arial" w:cs="Arial"/>
        </w:rPr>
        <w:t xml:space="preserve"> people requiring high levels of support. </w:t>
      </w:r>
    </w:p>
    <w:p w:rsidR="00D80137" w:rsidRPr="00C94627" w:rsidRDefault="00D80137" w:rsidP="00C94627">
      <w:pPr>
        <w:spacing w:after="0" w:line="240" w:lineRule="auto"/>
        <w:jc w:val="both"/>
        <w:rPr>
          <w:rFonts w:ascii="Arial" w:hAnsi="Arial" w:cs="Arial"/>
        </w:rPr>
      </w:pPr>
    </w:p>
    <w:p w:rsidR="0047634A" w:rsidRPr="0047634A" w:rsidRDefault="00F8462A">
      <w:pPr>
        <w:spacing w:after="0" w:line="240" w:lineRule="auto"/>
        <w:jc w:val="both"/>
        <w:rPr>
          <w:rFonts w:ascii="Arial" w:hAnsi="Arial" w:cs="Arial"/>
          <w:color w:val="000000" w:themeColor="text1"/>
        </w:rPr>
      </w:pPr>
      <w:r w:rsidRPr="00C94627">
        <w:rPr>
          <w:rFonts w:ascii="Arial" w:hAnsi="Arial" w:cs="Arial"/>
        </w:rPr>
        <w:t>With the forecasts indicating continued population growth, it is inevitable that the current unmet demand for social ho</w:t>
      </w:r>
      <w:r w:rsidR="00BA6883" w:rsidRPr="00C94627">
        <w:rPr>
          <w:rFonts w:ascii="Arial" w:hAnsi="Arial" w:cs="Arial"/>
        </w:rPr>
        <w:t>using will also continue to increase</w:t>
      </w:r>
      <w:r w:rsidRPr="00C94627">
        <w:rPr>
          <w:rFonts w:ascii="Arial" w:hAnsi="Arial" w:cs="Arial"/>
        </w:rPr>
        <w:t xml:space="preserve">. </w:t>
      </w:r>
      <w:r w:rsidR="003F0A53" w:rsidRPr="00C94627">
        <w:rPr>
          <w:rFonts w:ascii="Arial" w:hAnsi="Arial" w:cs="Arial"/>
        </w:rPr>
        <w:t xml:space="preserve">Recent partnering between government and the community sector to provide social housing has broadened the delivery model and resident profile to include a mix of tenants </w:t>
      </w:r>
      <w:r w:rsidR="00875098">
        <w:rPr>
          <w:rFonts w:ascii="Arial" w:hAnsi="Arial" w:cs="Arial"/>
        </w:rPr>
        <w:t xml:space="preserve">such as </w:t>
      </w:r>
      <w:r w:rsidR="00BA6883" w:rsidRPr="00C94627">
        <w:rPr>
          <w:rFonts w:ascii="Arial" w:hAnsi="Arial" w:cs="Arial"/>
        </w:rPr>
        <w:t>those</w:t>
      </w:r>
      <w:r w:rsidR="005F36DB">
        <w:rPr>
          <w:rFonts w:ascii="Arial" w:hAnsi="Arial" w:cs="Arial"/>
        </w:rPr>
        <w:t xml:space="preserve"> on</w:t>
      </w:r>
      <w:r w:rsidR="003F0A53" w:rsidRPr="00C94627">
        <w:rPr>
          <w:rFonts w:ascii="Arial" w:hAnsi="Arial" w:cs="Arial"/>
        </w:rPr>
        <w:t xml:space="preserve"> Centrelink </w:t>
      </w:r>
      <w:r w:rsidR="00BA6883" w:rsidRPr="00C94627">
        <w:rPr>
          <w:rFonts w:ascii="Arial" w:hAnsi="Arial" w:cs="Arial"/>
        </w:rPr>
        <w:t>allowance</w:t>
      </w:r>
      <w:r w:rsidR="003F0A53" w:rsidRPr="00C94627">
        <w:rPr>
          <w:rFonts w:ascii="Arial" w:hAnsi="Arial" w:cs="Arial"/>
        </w:rPr>
        <w:t>s</w:t>
      </w:r>
      <w:r w:rsidR="00875098">
        <w:rPr>
          <w:rFonts w:ascii="Arial" w:hAnsi="Arial" w:cs="Arial"/>
        </w:rPr>
        <w:t xml:space="preserve">, </w:t>
      </w:r>
      <w:r w:rsidR="00BA6883" w:rsidRPr="00C94627">
        <w:rPr>
          <w:rFonts w:ascii="Arial" w:hAnsi="Arial" w:cs="Arial"/>
        </w:rPr>
        <w:t>pension</w:t>
      </w:r>
      <w:r w:rsidR="00875098">
        <w:rPr>
          <w:rFonts w:ascii="Arial" w:hAnsi="Arial" w:cs="Arial"/>
        </w:rPr>
        <w:t>er</w:t>
      </w:r>
      <w:r w:rsidR="00BA6883" w:rsidRPr="00C94627">
        <w:rPr>
          <w:rFonts w:ascii="Arial" w:hAnsi="Arial" w:cs="Arial"/>
        </w:rPr>
        <w:t>s</w:t>
      </w:r>
      <w:r w:rsidR="00875098">
        <w:rPr>
          <w:rFonts w:ascii="Arial" w:hAnsi="Arial" w:cs="Arial"/>
        </w:rPr>
        <w:t>,</w:t>
      </w:r>
      <w:r w:rsidR="003F0A53" w:rsidRPr="00C94627">
        <w:rPr>
          <w:rFonts w:ascii="Arial" w:hAnsi="Arial" w:cs="Arial"/>
        </w:rPr>
        <w:t xml:space="preserve"> </w:t>
      </w:r>
      <w:r w:rsidR="00BA6883" w:rsidRPr="00C94627">
        <w:rPr>
          <w:rFonts w:ascii="Arial" w:hAnsi="Arial" w:cs="Arial"/>
        </w:rPr>
        <w:t xml:space="preserve">and </w:t>
      </w:r>
      <w:r w:rsidR="003F0A53" w:rsidRPr="00C94627">
        <w:rPr>
          <w:rFonts w:ascii="Arial" w:hAnsi="Arial" w:cs="Arial"/>
        </w:rPr>
        <w:t xml:space="preserve">with those on moderate incomes. </w:t>
      </w:r>
      <w:r w:rsidR="00390E9E" w:rsidRPr="00C94627">
        <w:rPr>
          <w:rFonts w:ascii="Arial" w:hAnsi="Arial" w:cs="Arial"/>
        </w:rPr>
        <w:t>This is a positive shift from one that has prioritised high needs and disadvantage as criteria for obtaining state owned housing</w:t>
      </w:r>
      <w:r w:rsidR="00875098">
        <w:rPr>
          <w:rFonts w:ascii="Arial" w:hAnsi="Arial" w:cs="Arial"/>
        </w:rPr>
        <w:t>.  The mixing of tenants also ensures that within social housing that is clustered there are less management issues</w:t>
      </w:r>
      <w:r w:rsidR="00390E9E" w:rsidRPr="00C94627">
        <w:rPr>
          <w:rFonts w:ascii="Arial" w:hAnsi="Arial" w:cs="Arial"/>
        </w:rPr>
        <w:t xml:space="preserve">. It should also be noted that in Victoria a number of registered housing associations also play a key role in providing targeted housing </w:t>
      </w:r>
      <w:r w:rsidR="00080BE7" w:rsidRPr="00C94627">
        <w:rPr>
          <w:rFonts w:ascii="Arial" w:hAnsi="Arial" w:cs="Arial"/>
        </w:rPr>
        <w:t xml:space="preserve">and supports </w:t>
      </w:r>
      <w:r w:rsidR="00390E9E" w:rsidRPr="00C94627">
        <w:rPr>
          <w:rFonts w:ascii="Arial" w:hAnsi="Arial" w:cs="Arial"/>
        </w:rPr>
        <w:t xml:space="preserve">for women and children affected by family violence and people with disabilities. </w:t>
      </w:r>
      <w:r w:rsidR="003F0A53" w:rsidRPr="00C94627">
        <w:rPr>
          <w:rFonts w:ascii="Arial" w:hAnsi="Arial" w:cs="Arial"/>
        </w:rPr>
        <w:t>However as indicated previously, p</w:t>
      </w:r>
      <w:r w:rsidR="00D80137" w:rsidRPr="00C94627">
        <w:rPr>
          <w:rFonts w:ascii="Arial" w:hAnsi="Arial" w:cs="Arial"/>
        </w:rPr>
        <w:t>artnering</w:t>
      </w:r>
      <w:r w:rsidR="003F0A53" w:rsidRPr="00C94627">
        <w:rPr>
          <w:rFonts w:ascii="Arial" w:hAnsi="Arial" w:cs="Arial"/>
        </w:rPr>
        <w:t xml:space="preserve"> with the community sector </w:t>
      </w:r>
      <w:r w:rsidR="00BA6883" w:rsidRPr="00C94627">
        <w:rPr>
          <w:rFonts w:ascii="Arial" w:hAnsi="Arial" w:cs="Arial"/>
        </w:rPr>
        <w:t xml:space="preserve">will </w:t>
      </w:r>
      <w:r w:rsidR="00D80137" w:rsidRPr="00C94627">
        <w:rPr>
          <w:rFonts w:ascii="Arial" w:hAnsi="Arial" w:cs="Arial"/>
        </w:rPr>
        <w:t xml:space="preserve">require a </w:t>
      </w:r>
      <w:r w:rsidR="00BA6883" w:rsidRPr="00C94627">
        <w:rPr>
          <w:rFonts w:ascii="Arial" w:hAnsi="Arial" w:cs="Arial"/>
        </w:rPr>
        <w:t xml:space="preserve">funding </w:t>
      </w:r>
      <w:r w:rsidR="00D80137" w:rsidRPr="00C94627">
        <w:rPr>
          <w:rFonts w:ascii="Arial" w:hAnsi="Arial" w:cs="Arial"/>
        </w:rPr>
        <w:t>commitment fr</w:t>
      </w:r>
      <w:r w:rsidR="0071430D" w:rsidRPr="00C94627">
        <w:rPr>
          <w:rFonts w:ascii="Arial" w:hAnsi="Arial" w:cs="Arial"/>
        </w:rPr>
        <w:t>om both federal and state govern</w:t>
      </w:r>
      <w:r w:rsidR="00D80137" w:rsidRPr="00C94627">
        <w:rPr>
          <w:rFonts w:ascii="Arial" w:hAnsi="Arial" w:cs="Arial"/>
        </w:rPr>
        <w:t>ments</w:t>
      </w:r>
      <w:r w:rsidR="0071430D" w:rsidRPr="0047634A">
        <w:rPr>
          <w:rFonts w:ascii="Arial" w:hAnsi="Arial" w:cs="Arial"/>
          <w:color w:val="000000" w:themeColor="text1"/>
        </w:rPr>
        <w:t>.</w:t>
      </w:r>
      <w:r w:rsidR="00D80137" w:rsidRPr="0047634A">
        <w:rPr>
          <w:rFonts w:ascii="Arial" w:hAnsi="Arial" w:cs="Arial"/>
          <w:color w:val="000000" w:themeColor="text1"/>
        </w:rPr>
        <w:t xml:space="preserve">  </w:t>
      </w:r>
    </w:p>
    <w:p w:rsidR="00D80137" w:rsidRPr="00C94627" w:rsidRDefault="00D80137" w:rsidP="00C94627">
      <w:pPr>
        <w:spacing w:after="0" w:line="240" w:lineRule="auto"/>
        <w:jc w:val="both"/>
        <w:rPr>
          <w:rFonts w:ascii="Arial" w:hAnsi="Arial" w:cs="Arial"/>
        </w:rPr>
      </w:pPr>
    </w:p>
    <w:p w:rsidR="007252F9" w:rsidRDefault="00D80137" w:rsidP="00C94627">
      <w:pPr>
        <w:spacing w:after="0" w:line="240" w:lineRule="auto"/>
        <w:jc w:val="both"/>
        <w:rPr>
          <w:rFonts w:ascii="Arial" w:hAnsi="Arial" w:cs="Arial"/>
        </w:rPr>
      </w:pPr>
      <w:r w:rsidRPr="00C94627">
        <w:rPr>
          <w:rFonts w:ascii="Arial" w:hAnsi="Arial" w:cs="Arial"/>
        </w:rPr>
        <w:t xml:space="preserve">It would also be beneficial for groups </w:t>
      </w:r>
      <w:r w:rsidR="00BA6883" w:rsidRPr="00C94627">
        <w:rPr>
          <w:rFonts w:ascii="Arial" w:hAnsi="Arial" w:cs="Arial"/>
        </w:rPr>
        <w:t>for any future discussion</w:t>
      </w:r>
      <w:r w:rsidR="007E2D52" w:rsidRPr="00C94627">
        <w:rPr>
          <w:rFonts w:ascii="Arial" w:hAnsi="Arial" w:cs="Arial"/>
        </w:rPr>
        <w:t xml:space="preserve">s on this matter to involve the input of groups who are housing experts. Among these are </w:t>
      </w:r>
      <w:r w:rsidRPr="00C94627">
        <w:rPr>
          <w:rFonts w:ascii="Arial" w:hAnsi="Arial" w:cs="Arial"/>
        </w:rPr>
        <w:t xml:space="preserve">the Australian Council of Social Services whose submission to </w:t>
      </w:r>
      <w:r w:rsidR="007E2D52" w:rsidRPr="00C94627">
        <w:rPr>
          <w:rFonts w:ascii="Arial" w:hAnsi="Arial" w:cs="Arial"/>
        </w:rPr>
        <w:t>a previous</w:t>
      </w:r>
      <w:r w:rsidRPr="00C94627">
        <w:rPr>
          <w:rFonts w:ascii="Arial" w:hAnsi="Arial" w:cs="Arial"/>
        </w:rPr>
        <w:t xml:space="preserve"> Senate Inquiry into housing affordability in 2008 provided</w:t>
      </w:r>
      <w:r w:rsidR="007E2D52" w:rsidRPr="00C94627">
        <w:rPr>
          <w:rFonts w:ascii="Arial" w:hAnsi="Arial" w:cs="Arial"/>
        </w:rPr>
        <w:t xml:space="preserve"> sound</w:t>
      </w:r>
      <w:r w:rsidRPr="00C94627">
        <w:rPr>
          <w:rFonts w:ascii="Arial" w:hAnsi="Arial" w:cs="Arial"/>
        </w:rPr>
        <w:t xml:space="preserve"> policy directions and </w:t>
      </w:r>
      <w:r w:rsidR="007E2D52" w:rsidRPr="00C94627">
        <w:rPr>
          <w:rFonts w:ascii="Arial" w:hAnsi="Arial" w:cs="Arial"/>
        </w:rPr>
        <w:t xml:space="preserve">delivery models </w:t>
      </w:r>
      <w:r w:rsidRPr="00C94627">
        <w:rPr>
          <w:rFonts w:ascii="Arial" w:hAnsi="Arial" w:cs="Arial"/>
        </w:rPr>
        <w:t xml:space="preserve">and the Australian Housing and Urban Research Institute </w:t>
      </w:r>
      <w:r w:rsidR="007E2D52" w:rsidRPr="00C94627">
        <w:rPr>
          <w:rFonts w:ascii="Arial" w:hAnsi="Arial" w:cs="Arial"/>
        </w:rPr>
        <w:t>who have undertaken extensive research on housing policy and models</w:t>
      </w:r>
      <w:r w:rsidR="0071430D" w:rsidRPr="00C94627">
        <w:rPr>
          <w:rFonts w:ascii="Arial" w:hAnsi="Arial" w:cs="Arial"/>
        </w:rPr>
        <w:t>.</w:t>
      </w:r>
    </w:p>
    <w:p w:rsidR="00875098" w:rsidRDefault="00875098" w:rsidP="00C94627">
      <w:pPr>
        <w:spacing w:after="0" w:line="240" w:lineRule="auto"/>
        <w:jc w:val="both"/>
        <w:rPr>
          <w:rFonts w:ascii="Arial" w:hAnsi="Arial" w:cs="Arial"/>
        </w:rPr>
      </w:pPr>
    </w:p>
    <w:p w:rsidR="00894BE6" w:rsidRDefault="00875098" w:rsidP="00C94627">
      <w:pPr>
        <w:spacing w:after="0" w:line="240" w:lineRule="auto"/>
        <w:jc w:val="both"/>
        <w:rPr>
          <w:rFonts w:ascii="Arial" w:hAnsi="Arial" w:cs="Arial"/>
          <w:b/>
        </w:rPr>
      </w:pPr>
      <w:r w:rsidRPr="0044492B">
        <w:rPr>
          <w:rFonts w:ascii="Arial" w:hAnsi="Arial" w:cs="Arial"/>
          <w:b/>
        </w:rPr>
        <w:t>Recommendation</w:t>
      </w:r>
      <w:r w:rsidR="00850DB0" w:rsidRPr="0044492B">
        <w:rPr>
          <w:rFonts w:ascii="Arial" w:hAnsi="Arial" w:cs="Arial"/>
          <w:b/>
        </w:rPr>
        <w:t xml:space="preserve"> </w:t>
      </w:r>
      <w:r w:rsidR="0044492B">
        <w:rPr>
          <w:rFonts w:ascii="Arial" w:hAnsi="Arial" w:cs="Arial"/>
          <w:b/>
        </w:rPr>
        <w:t>6</w:t>
      </w:r>
      <w:r w:rsidRPr="0044492B">
        <w:rPr>
          <w:rFonts w:ascii="Arial" w:hAnsi="Arial" w:cs="Arial"/>
          <w:b/>
        </w:rPr>
        <w:t>:</w:t>
      </w:r>
      <w:r w:rsidR="00894BE6">
        <w:rPr>
          <w:rFonts w:ascii="Arial" w:hAnsi="Arial" w:cs="Arial"/>
          <w:b/>
        </w:rPr>
        <w:t xml:space="preserve"> </w:t>
      </w:r>
      <w:r w:rsidR="00894BE6">
        <w:rPr>
          <w:rFonts w:ascii="Arial" w:hAnsi="Arial" w:cs="Arial"/>
        </w:rPr>
        <w:t>Ensure that both the federal and state governments continue to be a key stakeholder in the provision of public housing</w:t>
      </w:r>
      <w:r w:rsidR="00C906A9">
        <w:rPr>
          <w:rFonts w:ascii="Arial" w:hAnsi="Arial" w:cs="Arial"/>
        </w:rPr>
        <w:t>.</w:t>
      </w:r>
    </w:p>
    <w:p w:rsidR="00745853" w:rsidRDefault="00745853" w:rsidP="00C94627">
      <w:pPr>
        <w:spacing w:after="0" w:line="240" w:lineRule="auto"/>
        <w:jc w:val="both"/>
        <w:rPr>
          <w:rFonts w:ascii="Arial" w:hAnsi="Arial" w:cs="Arial"/>
          <w:b/>
        </w:rPr>
      </w:pPr>
    </w:p>
    <w:p w:rsidR="00850DB0" w:rsidRPr="0044492B" w:rsidRDefault="00894BE6" w:rsidP="00C94627">
      <w:pPr>
        <w:spacing w:after="0" w:line="240" w:lineRule="auto"/>
        <w:jc w:val="both"/>
        <w:rPr>
          <w:rFonts w:ascii="Arial" w:hAnsi="Arial" w:cs="Arial"/>
        </w:rPr>
      </w:pPr>
      <w:r>
        <w:rPr>
          <w:rFonts w:ascii="Arial" w:hAnsi="Arial" w:cs="Arial"/>
          <w:b/>
        </w:rPr>
        <w:t xml:space="preserve">Recommendation 7: </w:t>
      </w:r>
      <w:r w:rsidRPr="00894BE6">
        <w:rPr>
          <w:rFonts w:ascii="Arial" w:hAnsi="Arial" w:cs="Arial"/>
        </w:rPr>
        <w:t>Continue to partner with the community housing sector in the provision and management of social housing</w:t>
      </w:r>
      <w:r w:rsidR="00C906A9">
        <w:rPr>
          <w:rFonts w:ascii="Arial" w:hAnsi="Arial" w:cs="Arial"/>
        </w:rPr>
        <w:t>.</w:t>
      </w:r>
    </w:p>
    <w:p w:rsidR="0071430D" w:rsidRPr="0047634A" w:rsidRDefault="0071430D" w:rsidP="00C94627">
      <w:pPr>
        <w:pStyle w:val="ABodynospace"/>
        <w:spacing w:line="240" w:lineRule="auto"/>
        <w:rPr>
          <w:rStyle w:val="ATextfield"/>
          <w:rFonts w:ascii="Arial" w:hAnsi="Arial" w:cs="Arial"/>
          <w:noProof/>
          <w:color w:val="000000" w:themeColor="text1"/>
        </w:rPr>
      </w:pPr>
    </w:p>
    <w:p w:rsidR="007E2D52" w:rsidRPr="00875098" w:rsidRDefault="006C4107" w:rsidP="00A31D01">
      <w:pPr>
        <w:spacing w:after="120" w:line="240" w:lineRule="auto"/>
        <w:jc w:val="both"/>
        <w:rPr>
          <w:rFonts w:ascii="Arial" w:hAnsi="Arial" w:cs="Arial"/>
          <w:b/>
          <w:bCs/>
          <w:color w:val="76923C" w:themeColor="accent3" w:themeShade="BF"/>
        </w:rPr>
      </w:pPr>
      <w:r w:rsidRPr="006C4107">
        <w:rPr>
          <w:rFonts w:ascii="Arial" w:hAnsi="Arial" w:cs="Arial"/>
          <w:b/>
          <w:color w:val="76923C" w:themeColor="accent3" w:themeShade="BF"/>
        </w:rPr>
        <w:t xml:space="preserve">Accessible and </w:t>
      </w:r>
      <w:r w:rsidRPr="006C4107">
        <w:rPr>
          <w:rFonts w:ascii="Arial" w:hAnsi="Arial" w:cs="Arial"/>
          <w:b/>
          <w:bCs/>
          <w:color w:val="76923C" w:themeColor="accent3" w:themeShade="BF"/>
        </w:rPr>
        <w:t>adaptable affordable housing</w:t>
      </w:r>
    </w:p>
    <w:p w:rsidR="003647FE" w:rsidRPr="00C94627" w:rsidRDefault="00073C4E" w:rsidP="00C94627">
      <w:pPr>
        <w:spacing w:after="0" w:line="240" w:lineRule="auto"/>
        <w:jc w:val="both"/>
        <w:rPr>
          <w:rFonts w:ascii="Arial" w:hAnsi="Arial" w:cs="Arial"/>
          <w:b/>
          <w:bCs/>
        </w:rPr>
      </w:pPr>
      <w:r>
        <w:rPr>
          <w:rFonts w:ascii="Arial" w:hAnsi="Arial" w:cs="Arial"/>
          <w:bCs/>
        </w:rPr>
        <w:t xml:space="preserve">When developing new </w:t>
      </w:r>
      <w:r w:rsidR="003B6385">
        <w:rPr>
          <w:rFonts w:ascii="Arial" w:hAnsi="Arial" w:cs="Arial"/>
          <w:bCs/>
        </w:rPr>
        <w:t xml:space="preserve">public </w:t>
      </w:r>
      <w:r>
        <w:rPr>
          <w:rFonts w:ascii="Arial" w:hAnsi="Arial" w:cs="Arial"/>
          <w:bCs/>
        </w:rPr>
        <w:t>buildings</w:t>
      </w:r>
      <w:r w:rsidR="00665817">
        <w:rPr>
          <w:rFonts w:ascii="Arial" w:hAnsi="Arial" w:cs="Arial"/>
          <w:bCs/>
        </w:rPr>
        <w:t>,</w:t>
      </w:r>
      <w:r>
        <w:rPr>
          <w:rFonts w:ascii="Arial" w:hAnsi="Arial" w:cs="Arial"/>
          <w:bCs/>
        </w:rPr>
        <w:t xml:space="preserve"> the Council</w:t>
      </w:r>
      <w:r w:rsidR="003B6385">
        <w:rPr>
          <w:rFonts w:ascii="Arial" w:hAnsi="Arial" w:cs="Arial"/>
          <w:bCs/>
        </w:rPr>
        <w:t xml:space="preserve"> </w:t>
      </w:r>
      <w:r>
        <w:rPr>
          <w:rFonts w:ascii="Arial" w:hAnsi="Arial" w:cs="Arial"/>
          <w:bCs/>
        </w:rPr>
        <w:t>must follow the</w:t>
      </w:r>
      <w:r w:rsidR="003647FE" w:rsidRPr="00C94627">
        <w:rPr>
          <w:rFonts w:ascii="Arial" w:hAnsi="Arial" w:cs="Arial"/>
          <w:bCs/>
        </w:rPr>
        <w:t xml:space="preserve"> Building Code</w:t>
      </w:r>
      <w:r w:rsidR="001E6A81">
        <w:rPr>
          <w:rFonts w:ascii="Arial" w:hAnsi="Arial" w:cs="Arial"/>
          <w:bCs/>
        </w:rPr>
        <w:t xml:space="preserve"> of Australia (BCA),</w:t>
      </w:r>
      <w:r w:rsidR="003647FE" w:rsidRPr="00C94627">
        <w:rPr>
          <w:rFonts w:ascii="Arial" w:hAnsi="Arial" w:cs="Arial"/>
          <w:bCs/>
        </w:rPr>
        <w:t xml:space="preserve"> informed by the </w:t>
      </w:r>
      <w:r w:rsidR="001E6A81">
        <w:rPr>
          <w:rFonts w:ascii="Arial" w:hAnsi="Arial" w:cs="Arial"/>
          <w:bCs/>
        </w:rPr>
        <w:t xml:space="preserve">Disability Discrimination Act </w:t>
      </w:r>
      <w:r w:rsidR="001B6C6E">
        <w:rPr>
          <w:rFonts w:ascii="Arial" w:hAnsi="Arial" w:cs="Arial"/>
          <w:bCs/>
        </w:rPr>
        <w:t>1992 (DDA) and</w:t>
      </w:r>
      <w:r>
        <w:rPr>
          <w:rFonts w:ascii="Arial" w:hAnsi="Arial" w:cs="Arial"/>
          <w:bCs/>
        </w:rPr>
        <w:t xml:space="preserve"> </w:t>
      </w:r>
      <w:r w:rsidR="001B6C6E">
        <w:rPr>
          <w:rFonts w:ascii="Arial" w:hAnsi="Arial" w:cs="Arial"/>
          <w:bCs/>
        </w:rPr>
        <w:t>the Disability (</w:t>
      </w:r>
      <w:r w:rsidR="003647FE" w:rsidRPr="00C94627">
        <w:rPr>
          <w:rFonts w:ascii="Arial" w:hAnsi="Arial" w:cs="Arial"/>
          <w:bCs/>
        </w:rPr>
        <w:t>Access to Premises</w:t>
      </w:r>
      <w:r w:rsidR="001B6C6E">
        <w:rPr>
          <w:rFonts w:ascii="Arial" w:hAnsi="Arial" w:cs="Arial"/>
          <w:bCs/>
        </w:rPr>
        <w:t xml:space="preserve"> – Buildings)</w:t>
      </w:r>
      <w:r w:rsidR="00171C74" w:rsidRPr="00C94627">
        <w:rPr>
          <w:rFonts w:ascii="Arial" w:hAnsi="Arial" w:cs="Arial"/>
          <w:bCs/>
        </w:rPr>
        <w:t xml:space="preserve"> </w:t>
      </w:r>
      <w:r>
        <w:rPr>
          <w:rFonts w:ascii="Arial" w:hAnsi="Arial" w:cs="Arial"/>
          <w:bCs/>
        </w:rPr>
        <w:t>Standards</w:t>
      </w:r>
      <w:r w:rsidR="001B6C6E">
        <w:rPr>
          <w:rFonts w:ascii="Arial" w:hAnsi="Arial" w:cs="Arial"/>
          <w:bCs/>
        </w:rPr>
        <w:t xml:space="preserve"> 2010</w:t>
      </w:r>
      <w:r w:rsidR="003B6385">
        <w:rPr>
          <w:rFonts w:ascii="Arial" w:hAnsi="Arial" w:cs="Arial"/>
          <w:bCs/>
        </w:rPr>
        <w:t>, as do other developers of public and commercial buildings</w:t>
      </w:r>
      <w:r>
        <w:rPr>
          <w:rFonts w:ascii="Arial" w:hAnsi="Arial" w:cs="Arial"/>
          <w:bCs/>
        </w:rPr>
        <w:t xml:space="preserve">. While this </w:t>
      </w:r>
      <w:r w:rsidR="0047634A">
        <w:rPr>
          <w:rFonts w:ascii="Arial" w:hAnsi="Arial" w:cs="Arial"/>
          <w:bCs/>
        </w:rPr>
        <w:t xml:space="preserve">provides </w:t>
      </w:r>
      <w:r>
        <w:rPr>
          <w:rFonts w:ascii="Arial" w:hAnsi="Arial" w:cs="Arial"/>
          <w:bCs/>
        </w:rPr>
        <w:t xml:space="preserve">a starting point for </w:t>
      </w:r>
      <w:r w:rsidR="0047634A">
        <w:rPr>
          <w:rFonts w:ascii="Arial" w:hAnsi="Arial" w:cs="Arial"/>
          <w:bCs/>
        </w:rPr>
        <w:t>delivering</w:t>
      </w:r>
      <w:r>
        <w:rPr>
          <w:rFonts w:ascii="Arial" w:hAnsi="Arial" w:cs="Arial"/>
          <w:bCs/>
        </w:rPr>
        <w:t xml:space="preserve"> fully accessible buildings for all ages and abilities</w:t>
      </w:r>
      <w:r w:rsidR="0047634A">
        <w:rPr>
          <w:rFonts w:ascii="Arial" w:hAnsi="Arial" w:cs="Arial"/>
          <w:bCs/>
        </w:rPr>
        <w:t>,</w:t>
      </w:r>
      <w:r>
        <w:rPr>
          <w:rFonts w:ascii="Arial" w:hAnsi="Arial" w:cs="Arial"/>
          <w:bCs/>
        </w:rPr>
        <w:t xml:space="preserve"> </w:t>
      </w:r>
      <w:r w:rsidR="0047634A">
        <w:rPr>
          <w:rFonts w:ascii="Arial" w:hAnsi="Arial" w:cs="Arial"/>
          <w:bCs/>
        </w:rPr>
        <w:t xml:space="preserve">stronger </w:t>
      </w:r>
      <w:r>
        <w:rPr>
          <w:rFonts w:ascii="Arial" w:hAnsi="Arial" w:cs="Arial"/>
          <w:bCs/>
        </w:rPr>
        <w:t xml:space="preserve">guidelines </w:t>
      </w:r>
      <w:r w:rsidR="0047634A">
        <w:rPr>
          <w:rFonts w:ascii="Arial" w:hAnsi="Arial" w:cs="Arial"/>
          <w:bCs/>
        </w:rPr>
        <w:t xml:space="preserve">and requirements are </w:t>
      </w:r>
      <w:r>
        <w:rPr>
          <w:rFonts w:ascii="Arial" w:hAnsi="Arial" w:cs="Arial"/>
          <w:bCs/>
        </w:rPr>
        <w:t>need</w:t>
      </w:r>
      <w:r w:rsidR="0047634A">
        <w:rPr>
          <w:rFonts w:ascii="Arial" w:hAnsi="Arial" w:cs="Arial"/>
          <w:bCs/>
        </w:rPr>
        <w:t>ed</w:t>
      </w:r>
      <w:r>
        <w:rPr>
          <w:rFonts w:ascii="Arial" w:hAnsi="Arial" w:cs="Arial"/>
          <w:bCs/>
        </w:rPr>
        <w:t xml:space="preserve"> to go beyond </w:t>
      </w:r>
      <w:r w:rsidR="001B6C6E">
        <w:rPr>
          <w:rFonts w:ascii="Arial" w:hAnsi="Arial" w:cs="Arial"/>
          <w:bCs/>
        </w:rPr>
        <w:t>minim</w:t>
      </w:r>
      <w:r w:rsidR="00042FA1">
        <w:rPr>
          <w:rFonts w:ascii="Arial" w:hAnsi="Arial" w:cs="Arial"/>
          <w:bCs/>
        </w:rPr>
        <w:t>um</w:t>
      </w:r>
      <w:r w:rsidR="001B6C6E">
        <w:rPr>
          <w:rFonts w:ascii="Arial" w:hAnsi="Arial" w:cs="Arial"/>
          <w:bCs/>
        </w:rPr>
        <w:t xml:space="preserve"> accessibility compliance requirements</w:t>
      </w:r>
      <w:r>
        <w:rPr>
          <w:rFonts w:ascii="Arial" w:hAnsi="Arial" w:cs="Arial"/>
          <w:bCs/>
        </w:rPr>
        <w:t xml:space="preserve">. </w:t>
      </w:r>
    </w:p>
    <w:p w:rsidR="00875098" w:rsidRDefault="00875098" w:rsidP="00C94627">
      <w:pPr>
        <w:spacing w:after="0" w:line="240" w:lineRule="auto"/>
        <w:jc w:val="both"/>
        <w:rPr>
          <w:rFonts w:ascii="Arial" w:hAnsi="Arial" w:cs="Arial"/>
          <w:bCs/>
        </w:rPr>
      </w:pPr>
    </w:p>
    <w:p w:rsidR="0086369D" w:rsidRPr="00C94627" w:rsidRDefault="00073C4E" w:rsidP="00C94627">
      <w:pPr>
        <w:spacing w:after="0" w:line="240" w:lineRule="auto"/>
        <w:jc w:val="both"/>
        <w:rPr>
          <w:rFonts w:ascii="Arial" w:hAnsi="Arial" w:cs="Arial"/>
          <w:bCs/>
        </w:rPr>
      </w:pPr>
      <w:r>
        <w:rPr>
          <w:rFonts w:ascii="Arial" w:hAnsi="Arial" w:cs="Arial"/>
          <w:bCs/>
        </w:rPr>
        <w:t xml:space="preserve">To assist with this, </w:t>
      </w:r>
      <w:r w:rsidR="00F77D0A" w:rsidRPr="00C94627">
        <w:rPr>
          <w:rFonts w:ascii="Arial" w:hAnsi="Arial" w:cs="Arial"/>
          <w:bCs/>
        </w:rPr>
        <w:t xml:space="preserve">Hobsons Bay City Council is currently developing </w:t>
      </w:r>
      <w:r w:rsidR="009D6EBB">
        <w:rPr>
          <w:rFonts w:ascii="Arial" w:hAnsi="Arial" w:cs="Arial"/>
          <w:bCs/>
        </w:rPr>
        <w:t>U</w:t>
      </w:r>
      <w:r w:rsidR="00F77D0A" w:rsidRPr="00C94627">
        <w:rPr>
          <w:rFonts w:ascii="Arial" w:hAnsi="Arial" w:cs="Arial"/>
          <w:bCs/>
        </w:rPr>
        <w:t xml:space="preserve">niversal </w:t>
      </w:r>
      <w:r w:rsidR="009D6EBB">
        <w:rPr>
          <w:rFonts w:ascii="Arial" w:hAnsi="Arial" w:cs="Arial"/>
          <w:bCs/>
        </w:rPr>
        <w:t>D</w:t>
      </w:r>
      <w:r w:rsidR="00F77D0A" w:rsidRPr="00C94627">
        <w:rPr>
          <w:rFonts w:ascii="Arial" w:hAnsi="Arial" w:cs="Arial"/>
          <w:bCs/>
        </w:rPr>
        <w:t xml:space="preserve">esign </w:t>
      </w:r>
      <w:r w:rsidR="009D6EBB">
        <w:rPr>
          <w:rFonts w:ascii="Arial" w:hAnsi="Arial" w:cs="Arial"/>
          <w:bCs/>
        </w:rPr>
        <w:t>G</w:t>
      </w:r>
      <w:r w:rsidR="00F77D0A" w:rsidRPr="00C94627">
        <w:rPr>
          <w:rFonts w:ascii="Arial" w:hAnsi="Arial" w:cs="Arial"/>
          <w:bCs/>
        </w:rPr>
        <w:t>uidelines</w:t>
      </w:r>
      <w:r w:rsidR="009D6EBB">
        <w:rPr>
          <w:rFonts w:ascii="Arial" w:hAnsi="Arial" w:cs="Arial"/>
          <w:bCs/>
        </w:rPr>
        <w:t xml:space="preserve"> and a Universal Design Policy Statement</w:t>
      </w:r>
      <w:r w:rsidR="00F77D0A" w:rsidRPr="00C94627">
        <w:rPr>
          <w:rFonts w:ascii="Arial" w:hAnsi="Arial" w:cs="Arial"/>
          <w:bCs/>
        </w:rPr>
        <w:t xml:space="preserve"> to inform the design, construction and retrofitting of</w:t>
      </w:r>
      <w:r w:rsidR="00875098">
        <w:rPr>
          <w:rFonts w:ascii="Arial" w:hAnsi="Arial" w:cs="Arial"/>
          <w:bCs/>
        </w:rPr>
        <w:t xml:space="preserve"> </w:t>
      </w:r>
      <w:r w:rsidR="00171C74" w:rsidRPr="00C94627">
        <w:rPr>
          <w:rFonts w:ascii="Arial" w:hAnsi="Arial" w:cs="Arial"/>
          <w:bCs/>
        </w:rPr>
        <w:t>Council</w:t>
      </w:r>
      <w:r w:rsidR="00F77D0A" w:rsidRPr="00C94627">
        <w:rPr>
          <w:rFonts w:ascii="Arial" w:hAnsi="Arial" w:cs="Arial"/>
          <w:bCs/>
        </w:rPr>
        <w:t xml:space="preserve"> own</w:t>
      </w:r>
      <w:r w:rsidR="00171C74" w:rsidRPr="00C94627">
        <w:rPr>
          <w:rFonts w:ascii="Arial" w:hAnsi="Arial" w:cs="Arial"/>
          <w:bCs/>
        </w:rPr>
        <w:t>ed</w:t>
      </w:r>
      <w:r w:rsidR="00F77D0A" w:rsidRPr="00C94627">
        <w:rPr>
          <w:rFonts w:ascii="Arial" w:hAnsi="Arial" w:cs="Arial"/>
          <w:bCs/>
        </w:rPr>
        <w:t xml:space="preserve"> facilities</w:t>
      </w:r>
      <w:r>
        <w:rPr>
          <w:rFonts w:ascii="Arial" w:hAnsi="Arial" w:cs="Arial"/>
          <w:bCs/>
        </w:rPr>
        <w:t xml:space="preserve">.  This </w:t>
      </w:r>
      <w:r w:rsidR="001E6A81">
        <w:rPr>
          <w:rFonts w:ascii="Arial" w:hAnsi="Arial" w:cs="Arial"/>
          <w:bCs/>
        </w:rPr>
        <w:t>go</w:t>
      </w:r>
      <w:r>
        <w:rPr>
          <w:rFonts w:ascii="Arial" w:hAnsi="Arial" w:cs="Arial"/>
          <w:bCs/>
        </w:rPr>
        <w:t>es</w:t>
      </w:r>
      <w:r w:rsidR="001E6A81">
        <w:rPr>
          <w:rFonts w:ascii="Arial" w:hAnsi="Arial" w:cs="Arial"/>
          <w:bCs/>
        </w:rPr>
        <w:t xml:space="preserve"> beyond </w:t>
      </w:r>
      <w:r w:rsidR="00042FA1">
        <w:rPr>
          <w:rFonts w:ascii="Arial" w:hAnsi="Arial" w:cs="Arial"/>
          <w:bCs/>
        </w:rPr>
        <w:t>minimum accessibility compliance requirements within the BCA</w:t>
      </w:r>
      <w:r w:rsidR="009D6EBB">
        <w:rPr>
          <w:rFonts w:ascii="Arial" w:hAnsi="Arial" w:cs="Arial"/>
          <w:bCs/>
        </w:rPr>
        <w:t>.  These guidelines</w:t>
      </w:r>
      <w:r w:rsidR="00F77D0A" w:rsidRPr="00C94627">
        <w:rPr>
          <w:rFonts w:ascii="Arial" w:hAnsi="Arial" w:cs="Arial"/>
          <w:bCs/>
        </w:rPr>
        <w:t xml:space="preserve"> have the potential to be broadened to cover a range of other developments including residential. That said, the Council would welcome </w:t>
      </w:r>
      <w:r w:rsidR="005434E5">
        <w:rPr>
          <w:rFonts w:ascii="Arial" w:hAnsi="Arial" w:cs="Arial"/>
          <w:bCs/>
        </w:rPr>
        <w:t xml:space="preserve">the introduction </w:t>
      </w:r>
      <w:r w:rsidR="00894BE6">
        <w:rPr>
          <w:rFonts w:ascii="Arial" w:hAnsi="Arial" w:cs="Arial"/>
          <w:bCs/>
        </w:rPr>
        <w:t>of legislation and</w:t>
      </w:r>
      <w:r w:rsidR="005434E5">
        <w:rPr>
          <w:rFonts w:ascii="Arial" w:hAnsi="Arial" w:cs="Arial"/>
          <w:bCs/>
        </w:rPr>
        <w:t xml:space="preserve"> standards to be introduced which requires a proportion of all new larger </w:t>
      </w:r>
      <w:r>
        <w:rPr>
          <w:rFonts w:ascii="Arial" w:hAnsi="Arial" w:cs="Arial"/>
          <w:bCs/>
        </w:rPr>
        <w:t>residential developments to</w:t>
      </w:r>
      <w:r w:rsidR="00745853">
        <w:rPr>
          <w:rFonts w:ascii="Arial" w:hAnsi="Arial" w:cs="Arial"/>
          <w:bCs/>
        </w:rPr>
        <w:t xml:space="preserve"> </w:t>
      </w:r>
      <w:r w:rsidR="005434E5">
        <w:rPr>
          <w:rFonts w:ascii="Arial" w:hAnsi="Arial" w:cs="Arial"/>
          <w:bCs/>
        </w:rPr>
        <w:t>comply</w:t>
      </w:r>
      <w:bookmarkStart w:id="3" w:name="_Toc371880578"/>
      <w:bookmarkStart w:id="4" w:name="_Toc372037838"/>
      <w:bookmarkStart w:id="5" w:name="_Toc372187877"/>
      <w:r w:rsidR="00745853">
        <w:rPr>
          <w:rFonts w:ascii="Arial" w:hAnsi="Arial" w:cs="Arial"/>
          <w:bCs/>
        </w:rPr>
        <w:t xml:space="preserve"> with the enhanced standards and or the consideration of universal design principles.</w:t>
      </w:r>
    </w:p>
    <w:p w:rsidR="00875098" w:rsidRDefault="00875098" w:rsidP="00C94627">
      <w:pPr>
        <w:spacing w:after="0" w:line="240" w:lineRule="auto"/>
        <w:jc w:val="both"/>
        <w:rPr>
          <w:rFonts w:ascii="Arial" w:hAnsi="Arial" w:cs="Arial"/>
          <w:bCs/>
        </w:rPr>
      </w:pPr>
    </w:p>
    <w:p w:rsidR="0086369D" w:rsidRPr="00C94627" w:rsidRDefault="00171C74" w:rsidP="00C94627">
      <w:pPr>
        <w:spacing w:after="0" w:line="240" w:lineRule="auto"/>
        <w:jc w:val="both"/>
        <w:rPr>
          <w:rFonts w:ascii="Arial" w:hAnsi="Arial" w:cs="Arial"/>
          <w:bCs/>
        </w:rPr>
      </w:pPr>
      <w:r w:rsidRPr="00C94627">
        <w:rPr>
          <w:rFonts w:ascii="Arial" w:hAnsi="Arial" w:cs="Arial"/>
          <w:bCs/>
        </w:rPr>
        <w:t>Beyond the built form, the</w:t>
      </w:r>
      <w:r w:rsidR="0086369D" w:rsidRPr="00C94627">
        <w:rPr>
          <w:rFonts w:ascii="Arial" w:hAnsi="Arial" w:cs="Arial"/>
          <w:bCs/>
        </w:rPr>
        <w:t xml:space="preserve"> provision of accessible housing should be located within reasonable proximity to employment, community infrastructure and services</w:t>
      </w:r>
      <w:bookmarkStart w:id="6" w:name="_Toc371880579"/>
      <w:bookmarkStart w:id="7" w:name="_Toc372037839"/>
      <w:bookmarkStart w:id="8" w:name="_Toc372187878"/>
      <w:bookmarkEnd w:id="3"/>
      <w:bookmarkEnd w:id="4"/>
      <w:bookmarkEnd w:id="5"/>
      <w:r w:rsidR="0086369D" w:rsidRPr="00C94627">
        <w:rPr>
          <w:rFonts w:ascii="Arial" w:hAnsi="Arial" w:cs="Arial"/>
          <w:bCs/>
        </w:rPr>
        <w:t xml:space="preserve"> with access to public transport and infrastructure for walking and cycling</w:t>
      </w:r>
      <w:bookmarkStart w:id="9" w:name="_Toc371880580"/>
      <w:bookmarkStart w:id="10" w:name="_Toc372037840"/>
      <w:bookmarkStart w:id="11" w:name="_Toc372187879"/>
      <w:bookmarkEnd w:id="6"/>
      <w:bookmarkEnd w:id="7"/>
      <w:bookmarkEnd w:id="8"/>
      <w:r w:rsidR="0086369D" w:rsidRPr="00C94627">
        <w:rPr>
          <w:rFonts w:ascii="Arial" w:hAnsi="Arial" w:cs="Arial"/>
          <w:bCs/>
        </w:rPr>
        <w:t xml:space="preserve"> to reduce car dependency</w:t>
      </w:r>
      <w:bookmarkEnd w:id="9"/>
      <w:bookmarkEnd w:id="10"/>
      <w:bookmarkEnd w:id="11"/>
      <w:r w:rsidRPr="00C94627">
        <w:rPr>
          <w:rFonts w:ascii="Arial" w:hAnsi="Arial" w:cs="Arial"/>
          <w:bCs/>
        </w:rPr>
        <w:t>.</w:t>
      </w:r>
    </w:p>
    <w:p w:rsidR="00875098" w:rsidRDefault="00875098" w:rsidP="00C94627">
      <w:pPr>
        <w:spacing w:after="0" w:line="240" w:lineRule="auto"/>
        <w:jc w:val="both"/>
        <w:rPr>
          <w:rFonts w:ascii="Arial" w:hAnsi="Arial" w:cs="Arial"/>
          <w:bCs/>
        </w:rPr>
      </w:pPr>
      <w:bookmarkStart w:id="12" w:name="_Toc371880582"/>
      <w:bookmarkStart w:id="13" w:name="_Toc372037842"/>
      <w:bookmarkStart w:id="14" w:name="_Toc372187881"/>
    </w:p>
    <w:p w:rsidR="0086369D" w:rsidRPr="00C94627" w:rsidRDefault="0086369D" w:rsidP="00C94627">
      <w:pPr>
        <w:spacing w:after="0" w:line="240" w:lineRule="auto"/>
        <w:jc w:val="both"/>
        <w:rPr>
          <w:rFonts w:ascii="Arial" w:hAnsi="Arial" w:cs="Arial"/>
          <w:bCs/>
        </w:rPr>
      </w:pPr>
      <w:r w:rsidRPr="00C94627">
        <w:rPr>
          <w:rFonts w:ascii="Arial" w:hAnsi="Arial" w:cs="Arial"/>
          <w:bCs/>
        </w:rPr>
        <w:t xml:space="preserve">Currently, local planning policies </w:t>
      </w:r>
      <w:r w:rsidR="00171C74" w:rsidRPr="00C94627">
        <w:rPr>
          <w:rFonts w:ascii="Arial" w:hAnsi="Arial" w:cs="Arial"/>
          <w:bCs/>
        </w:rPr>
        <w:t>in relation to accessibility within</w:t>
      </w:r>
      <w:r w:rsidRPr="00C94627">
        <w:rPr>
          <w:rFonts w:ascii="Arial" w:hAnsi="Arial" w:cs="Arial"/>
          <w:bCs/>
        </w:rPr>
        <w:t xml:space="preserve"> residential developments are weak.  </w:t>
      </w:r>
      <w:r w:rsidR="00171C74" w:rsidRPr="00C94627">
        <w:rPr>
          <w:rFonts w:ascii="Arial" w:hAnsi="Arial" w:cs="Arial"/>
          <w:bCs/>
        </w:rPr>
        <w:t>Options for council</w:t>
      </w:r>
      <w:r w:rsidR="0047634A">
        <w:rPr>
          <w:rFonts w:ascii="Arial" w:hAnsi="Arial" w:cs="Arial"/>
          <w:bCs/>
        </w:rPr>
        <w:t>s</w:t>
      </w:r>
      <w:r w:rsidR="00171C74" w:rsidRPr="00C94627">
        <w:rPr>
          <w:rFonts w:ascii="Arial" w:hAnsi="Arial" w:cs="Arial"/>
          <w:bCs/>
        </w:rPr>
        <w:t xml:space="preserve"> include developing</w:t>
      </w:r>
      <w:r w:rsidRPr="00C94627">
        <w:rPr>
          <w:rFonts w:ascii="Arial" w:hAnsi="Arial" w:cs="Arial"/>
          <w:bCs/>
        </w:rPr>
        <w:t xml:space="preserve"> </w:t>
      </w:r>
      <w:r w:rsidR="00195FAC" w:rsidRPr="00C94627">
        <w:rPr>
          <w:rFonts w:ascii="Arial" w:hAnsi="Arial" w:cs="Arial"/>
          <w:bCs/>
        </w:rPr>
        <w:t>new policies</w:t>
      </w:r>
      <w:r w:rsidR="00601980">
        <w:rPr>
          <w:rFonts w:ascii="Arial" w:hAnsi="Arial" w:cs="Arial"/>
          <w:bCs/>
        </w:rPr>
        <w:t>,</w:t>
      </w:r>
      <w:r w:rsidRPr="00C94627">
        <w:rPr>
          <w:rFonts w:ascii="Arial" w:hAnsi="Arial" w:cs="Arial"/>
          <w:bCs/>
        </w:rPr>
        <w:t xml:space="preserve"> or strengthening existing policies in the Local Planning Provisions Framework or the Municipal Strategic Statement</w:t>
      </w:r>
      <w:r w:rsidR="00601980">
        <w:rPr>
          <w:rFonts w:ascii="Arial" w:hAnsi="Arial" w:cs="Arial"/>
          <w:bCs/>
        </w:rPr>
        <w:t>,</w:t>
      </w:r>
      <w:r w:rsidRPr="00C94627">
        <w:rPr>
          <w:rFonts w:ascii="Arial" w:hAnsi="Arial" w:cs="Arial"/>
          <w:bCs/>
        </w:rPr>
        <w:t xml:space="preserve"> to specifically identify the connection between accessibility and housing</w:t>
      </w:r>
      <w:bookmarkEnd w:id="12"/>
      <w:r w:rsidR="00810305">
        <w:rPr>
          <w:rFonts w:ascii="Arial" w:hAnsi="Arial" w:cs="Arial"/>
          <w:bCs/>
        </w:rPr>
        <w:t xml:space="preserve"> however, there are no </w:t>
      </w:r>
      <w:r w:rsidR="0047634A">
        <w:rPr>
          <w:rFonts w:ascii="Arial" w:hAnsi="Arial" w:cs="Arial"/>
          <w:bCs/>
        </w:rPr>
        <w:t>robust</w:t>
      </w:r>
      <w:r w:rsidR="00810305">
        <w:rPr>
          <w:rFonts w:ascii="Arial" w:hAnsi="Arial" w:cs="Arial"/>
          <w:bCs/>
        </w:rPr>
        <w:t xml:space="preserve"> tools loca</w:t>
      </w:r>
      <w:r w:rsidR="005A6E24">
        <w:rPr>
          <w:rFonts w:ascii="Arial" w:hAnsi="Arial" w:cs="Arial"/>
          <w:bCs/>
        </w:rPr>
        <w:t>t</w:t>
      </w:r>
      <w:r w:rsidR="00810305">
        <w:rPr>
          <w:rFonts w:ascii="Arial" w:hAnsi="Arial" w:cs="Arial"/>
          <w:bCs/>
        </w:rPr>
        <w:t>ed within the V</w:t>
      </w:r>
      <w:r w:rsidR="005A6E24">
        <w:rPr>
          <w:rFonts w:ascii="Arial" w:hAnsi="Arial" w:cs="Arial"/>
          <w:bCs/>
        </w:rPr>
        <w:t xml:space="preserve">ictorian </w:t>
      </w:r>
      <w:r w:rsidR="00810305">
        <w:rPr>
          <w:rFonts w:ascii="Arial" w:hAnsi="Arial" w:cs="Arial"/>
          <w:bCs/>
        </w:rPr>
        <w:t>P</w:t>
      </w:r>
      <w:r w:rsidR="005A6E24">
        <w:rPr>
          <w:rFonts w:ascii="Arial" w:hAnsi="Arial" w:cs="Arial"/>
          <w:bCs/>
        </w:rPr>
        <w:t xml:space="preserve">lanning </w:t>
      </w:r>
      <w:r w:rsidR="00810305">
        <w:rPr>
          <w:rFonts w:ascii="Arial" w:hAnsi="Arial" w:cs="Arial"/>
          <w:bCs/>
        </w:rPr>
        <w:t>P</w:t>
      </w:r>
      <w:r w:rsidR="005A6E24">
        <w:rPr>
          <w:rFonts w:ascii="Arial" w:hAnsi="Arial" w:cs="Arial"/>
          <w:bCs/>
        </w:rPr>
        <w:t>rovisions that would provide clearer guidance.</w:t>
      </w:r>
      <w:bookmarkEnd w:id="13"/>
      <w:bookmarkEnd w:id="14"/>
    </w:p>
    <w:p w:rsidR="00875098" w:rsidRDefault="00875098" w:rsidP="00C94627">
      <w:pPr>
        <w:spacing w:after="0" w:line="240" w:lineRule="auto"/>
        <w:rPr>
          <w:rFonts w:ascii="Arial" w:hAnsi="Arial" w:cs="Arial"/>
          <w:bCs/>
        </w:rPr>
      </w:pPr>
    </w:p>
    <w:p w:rsidR="00C12D2C" w:rsidRPr="00C94627" w:rsidRDefault="0086369D" w:rsidP="00C94627">
      <w:pPr>
        <w:spacing w:after="0" w:line="240" w:lineRule="auto"/>
        <w:rPr>
          <w:rFonts w:ascii="Arial" w:hAnsi="Arial" w:cs="Arial"/>
          <w:bCs/>
        </w:rPr>
      </w:pPr>
      <w:r w:rsidRPr="00C94627">
        <w:rPr>
          <w:rFonts w:ascii="Arial" w:hAnsi="Arial" w:cs="Arial"/>
          <w:bCs/>
        </w:rPr>
        <w:t>In Victoria, t</w:t>
      </w:r>
      <w:r w:rsidR="00C12D2C" w:rsidRPr="00C94627">
        <w:rPr>
          <w:rFonts w:ascii="Arial" w:hAnsi="Arial" w:cs="Arial"/>
          <w:bCs/>
        </w:rPr>
        <w:t>he draft Metropolitan Planning Strategy</w:t>
      </w:r>
      <w:r w:rsidR="00601980">
        <w:rPr>
          <w:rFonts w:ascii="Arial" w:hAnsi="Arial" w:cs="Arial"/>
          <w:bCs/>
        </w:rPr>
        <w:t>,</w:t>
      </w:r>
      <w:r w:rsidR="00C12D2C" w:rsidRPr="00C94627">
        <w:rPr>
          <w:rFonts w:ascii="Arial" w:hAnsi="Arial" w:cs="Arial"/>
          <w:bCs/>
        </w:rPr>
        <w:t xml:space="preserve"> Plan Melbourne</w:t>
      </w:r>
      <w:r w:rsidR="00601980">
        <w:rPr>
          <w:rFonts w:ascii="Arial" w:hAnsi="Arial" w:cs="Arial"/>
          <w:bCs/>
        </w:rPr>
        <w:t>,</w:t>
      </w:r>
      <w:r w:rsidR="00195FAC" w:rsidRPr="00C94627">
        <w:rPr>
          <w:rFonts w:ascii="Arial" w:hAnsi="Arial" w:cs="Arial"/>
          <w:bCs/>
        </w:rPr>
        <w:t xml:space="preserve"> </w:t>
      </w:r>
      <w:r w:rsidR="00C12D2C" w:rsidRPr="00C94627">
        <w:rPr>
          <w:rFonts w:ascii="Arial" w:hAnsi="Arial" w:cs="Arial"/>
          <w:bCs/>
        </w:rPr>
        <w:t xml:space="preserve">has been released with the final version expected in </w:t>
      </w:r>
      <w:r w:rsidRPr="00C94627">
        <w:rPr>
          <w:rFonts w:ascii="Arial" w:hAnsi="Arial" w:cs="Arial"/>
          <w:bCs/>
        </w:rPr>
        <w:t>early</w:t>
      </w:r>
      <w:r w:rsidR="00C12D2C" w:rsidRPr="00C94627">
        <w:rPr>
          <w:rFonts w:ascii="Arial" w:hAnsi="Arial" w:cs="Arial"/>
          <w:bCs/>
        </w:rPr>
        <w:t xml:space="preserve"> 2014.  It contains an initiative that requires local governments to prepare municipal housing strategi</w:t>
      </w:r>
      <w:r w:rsidR="00195FAC" w:rsidRPr="00C94627">
        <w:rPr>
          <w:rFonts w:ascii="Arial" w:hAnsi="Arial" w:cs="Arial"/>
          <w:bCs/>
        </w:rPr>
        <w:t xml:space="preserve">es to improve housing choice. </w:t>
      </w:r>
      <w:r w:rsidR="00DE5263" w:rsidRPr="00C94627">
        <w:rPr>
          <w:rFonts w:ascii="Arial" w:hAnsi="Arial" w:cs="Arial"/>
          <w:bCs/>
        </w:rPr>
        <w:t>It</w:t>
      </w:r>
      <w:r w:rsidR="00C12D2C" w:rsidRPr="00C94627">
        <w:rPr>
          <w:rFonts w:ascii="Arial" w:hAnsi="Arial" w:cs="Arial"/>
          <w:bCs/>
        </w:rPr>
        <w:t xml:space="preserve"> </w:t>
      </w:r>
      <w:r w:rsidR="00195FAC" w:rsidRPr="00C94627">
        <w:rPr>
          <w:rFonts w:ascii="Arial" w:hAnsi="Arial" w:cs="Arial"/>
          <w:bCs/>
        </w:rPr>
        <w:t>also aims to</w:t>
      </w:r>
      <w:r w:rsidR="00C12D2C" w:rsidRPr="00C94627">
        <w:rPr>
          <w:rFonts w:ascii="Arial" w:hAnsi="Arial" w:cs="Arial"/>
          <w:bCs/>
        </w:rPr>
        <w:t xml:space="preserve"> </w:t>
      </w:r>
      <w:r w:rsidR="00195FAC" w:rsidRPr="00C94627">
        <w:rPr>
          <w:rFonts w:ascii="Arial" w:hAnsi="Arial" w:cs="Arial"/>
          <w:bCs/>
        </w:rPr>
        <w:t>create</w:t>
      </w:r>
      <w:r w:rsidR="00C12D2C" w:rsidRPr="00C94627">
        <w:rPr>
          <w:rFonts w:ascii="Arial" w:hAnsi="Arial" w:cs="Arial"/>
          <w:bCs/>
        </w:rPr>
        <w:t xml:space="preserve"> 20 minute neighbourhoods (whereby access to services and infrastructure is within a 20 minute walk, cycle or public transport tr</w:t>
      </w:r>
      <w:r w:rsidR="00195FAC" w:rsidRPr="00C94627">
        <w:rPr>
          <w:rFonts w:ascii="Arial" w:hAnsi="Arial" w:cs="Arial"/>
          <w:bCs/>
        </w:rPr>
        <w:t>ip) so that new housing is</w:t>
      </w:r>
      <w:r w:rsidR="00C12D2C" w:rsidRPr="00C94627">
        <w:rPr>
          <w:rFonts w:ascii="Arial" w:hAnsi="Arial" w:cs="Arial"/>
          <w:bCs/>
        </w:rPr>
        <w:t xml:space="preserve"> located closer to jobs and services (i.e. within/near to activity centres)</w:t>
      </w:r>
      <w:r w:rsidR="00195FAC" w:rsidRPr="00C94627">
        <w:rPr>
          <w:rFonts w:ascii="Arial" w:hAnsi="Arial" w:cs="Arial"/>
          <w:bCs/>
        </w:rPr>
        <w:t>. This consolidation is intended</w:t>
      </w:r>
      <w:r w:rsidR="00C12D2C" w:rsidRPr="00C94627">
        <w:rPr>
          <w:rFonts w:ascii="Arial" w:hAnsi="Arial" w:cs="Arial"/>
          <w:bCs/>
        </w:rPr>
        <w:t xml:space="preserve"> to make use of existing infrastructure and to promote affordable living by reducing travel costs.  </w:t>
      </w:r>
    </w:p>
    <w:p w:rsidR="00875098" w:rsidRDefault="00875098" w:rsidP="00C94627">
      <w:pPr>
        <w:spacing w:after="0" w:line="240" w:lineRule="auto"/>
        <w:rPr>
          <w:rFonts w:ascii="Arial" w:hAnsi="Arial" w:cs="Arial"/>
          <w:bCs/>
        </w:rPr>
      </w:pPr>
    </w:p>
    <w:p w:rsidR="00C12D2C" w:rsidRPr="00C94627" w:rsidRDefault="00C12D2C" w:rsidP="00C94627">
      <w:pPr>
        <w:spacing w:after="0" w:line="240" w:lineRule="auto"/>
        <w:rPr>
          <w:rFonts w:ascii="Arial" w:hAnsi="Arial" w:cs="Arial"/>
          <w:bCs/>
        </w:rPr>
      </w:pPr>
      <w:r w:rsidRPr="00C94627">
        <w:rPr>
          <w:rFonts w:ascii="Arial" w:hAnsi="Arial" w:cs="Arial"/>
          <w:bCs/>
        </w:rPr>
        <w:t>The P</w:t>
      </w:r>
      <w:r w:rsidR="00195FAC" w:rsidRPr="00C94627">
        <w:rPr>
          <w:rFonts w:ascii="Arial" w:hAnsi="Arial" w:cs="Arial"/>
          <w:bCs/>
        </w:rPr>
        <w:t>lan also includes initiatives to increase</w:t>
      </w:r>
      <w:r w:rsidRPr="00C94627">
        <w:rPr>
          <w:rFonts w:ascii="Arial" w:hAnsi="Arial" w:cs="Arial"/>
          <w:bCs/>
        </w:rPr>
        <w:t xml:space="preserve"> the supply of social and affordable housing.  However, the actual mechanisms proposed to support the implementation of </w:t>
      </w:r>
      <w:r w:rsidR="00601980">
        <w:rPr>
          <w:rFonts w:ascii="Arial" w:hAnsi="Arial" w:cs="Arial"/>
          <w:bCs/>
        </w:rPr>
        <w:t xml:space="preserve">both affordable housing and a 20 minute neighbourhood are </w:t>
      </w:r>
      <w:r w:rsidR="00195FAC" w:rsidRPr="00C94627">
        <w:rPr>
          <w:rFonts w:ascii="Arial" w:hAnsi="Arial" w:cs="Arial"/>
          <w:bCs/>
        </w:rPr>
        <w:t>not yet known. It is</w:t>
      </w:r>
      <w:r w:rsidRPr="00C94627">
        <w:rPr>
          <w:rFonts w:ascii="Arial" w:hAnsi="Arial" w:cs="Arial"/>
          <w:bCs/>
        </w:rPr>
        <w:t xml:space="preserve"> therefore </w:t>
      </w:r>
      <w:r w:rsidR="00195FAC" w:rsidRPr="00C94627">
        <w:rPr>
          <w:rFonts w:ascii="Arial" w:hAnsi="Arial" w:cs="Arial"/>
          <w:bCs/>
        </w:rPr>
        <w:t>still</w:t>
      </w:r>
      <w:r w:rsidRPr="00C94627">
        <w:rPr>
          <w:rFonts w:ascii="Arial" w:hAnsi="Arial" w:cs="Arial"/>
          <w:bCs/>
        </w:rPr>
        <w:t xml:space="preserve"> unclear </w:t>
      </w:r>
      <w:r w:rsidR="00195FAC" w:rsidRPr="00C94627">
        <w:rPr>
          <w:rFonts w:ascii="Arial" w:hAnsi="Arial" w:cs="Arial"/>
          <w:bCs/>
        </w:rPr>
        <w:t>whether these initiatives will</w:t>
      </w:r>
      <w:r w:rsidRPr="00C94627">
        <w:rPr>
          <w:rFonts w:ascii="Arial" w:hAnsi="Arial" w:cs="Arial"/>
          <w:bCs/>
        </w:rPr>
        <w:t xml:space="preserve"> be effective. </w:t>
      </w:r>
      <w:r w:rsidR="0044492B">
        <w:rPr>
          <w:rFonts w:ascii="Arial" w:hAnsi="Arial" w:cs="Arial"/>
          <w:bCs/>
        </w:rPr>
        <w:t xml:space="preserve">While in this instance this is a state issue, the need for clear guidelines for how strategies such as these are applied is critical to the success of their roll-out. Otherwise </w:t>
      </w:r>
      <w:r w:rsidR="00745853">
        <w:rPr>
          <w:rFonts w:ascii="Arial" w:hAnsi="Arial" w:cs="Arial"/>
          <w:bCs/>
        </w:rPr>
        <w:t>c</w:t>
      </w:r>
      <w:r w:rsidR="0044492B">
        <w:rPr>
          <w:rFonts w:ascii="Arial" w:hAnsi="Arial" w:cs="Arial"/>
          <w:bCs/>
        </w:rPr>
        <w:t>ouncils are left to grapple with a series of guidelines with no regulatory strength.</w:t>
      </w:r>
    </w:p>
    <w:p w:rsidR="0044492B" w:rsidRDefault="0044492B" w:rsidP="00C94627">
      <w:pPr>
        <w:spacing w:after="0" w:line="240" w:lineRule="auto"/>
        <w:rPr>
          <w:rStyle w:val="Heading4Char"/>
          <w:rFonts w:eastAsia="Cambria" w:cs="Arial"/>
          <w:szCs w:val="22"/>
        </w:rPr>
      </w:pPr>
    </w:p>
    <w:p w:rsidR="002441F3" w:rsidRDefault="005434E5" w:rsidP="00C94627">
      <w:pPr>
        <w:spacing w:after="0" w:line="240" w:lineRule="auto"/>
        <w:rPr>
          <w:rFonts w:ascii="Arial" w:hAnsi="Arial" w:cs="Arial"/>
          <w:bCs/>
        </w:rPr>
      </w:pPr>
      <w:r w:rsidRPr="0044492B">
        <w:rPr>
          <w:rStyle w:val="Heading4Char"/>
          <w:rFonts w:eastAsia="Cambria" w:cs="Arial"/>
          <w:szCs w:val="22"/>
        </w:rPr>
        <w:t>Recomm</w:t>
      </w:r>
      <w:r w:rsidR="0044492B" w:rsidRPr="0044492B">
        <w:rPr>
          <w:rStyle w:val="Heading4Char"/>
          <w:rFonts w:eastAsia="Cambria" w:cs="Arial"/>
          <w:szCs w:val="22"/>
        </w:rPr>
        <w:t>e</w:t>
      </w:r>
      <w:r w:rsidRPr="0044492B">
        <w:rPr>
          <w:rStyle w:val="Heading4Char"/>
          <w:rFonts w:eastAsia="Cambria" w:cs="Arial"/>
          <w:szCs w:val="22"/>
        </w:rPr>
        <w:t>ndation</w:t>
      </w:r>
      <w:r w:rsidR="00894BE6">
        <w:rPr>
          <w:rStyle w:val="Heading4Char"/>
          <w:rFonts w:eastAsia="Cambria" w:cs="Arial"/>
          <w:szCs w:val="22"/>
        </w:rPr>
        <w:t xml:space="preserve"> 8</w:t>
      </w:r>
      <w:r w:rsidRPr="0044492B">
        <w:rPr>
          <w:rStyle w:val="Heading4Char"/>
          <w:rFonts w:eastAsia="Cambria" w:cs="Arial"/>
          <w:b w:val="0"/>
          <w:szCs w:val="22"/>
        </w:rPr>
        <w:t>:</w:t>
      </w:r>
      <w:r w:rsidR="0047634A">
        <w:rPr>
          <w:rStyle w:val="Heading4Char"/>
          <w:rFonts w:eastAsia="Cambria" w:cs="Arial"/>
          <w:b w:val="0"/>
          <w:szCs w:val="22"/>
        </w:rPr>
        <w:t xml:space="preserve"> </w:t>
      </w:r>
      <w:r w:rsidRPr="0044492B">
        <w:rPr>
          <w:rStyle w:val="Heading4Char"/>
          <w:rFonts w:eastAsia="Cambria" w:cs="Arial"/>
          <w:b w:val="0"/>
          <w:szCs w:val="22"/>
        </w:rPr>
        <w:t xml:space="preserve"> </w:t>
      </w:r>
      <w:r w:rsidR="0044492B">
        <w:rPr>
          <w:rFonts w:ascii="Arial" w:hAnsi="Arial" w:cs="Arial"/>
          <w:bCs/>
        </w:rPr>
        <w:t>I</w:t>
      </w:r>
      <w:r w:rsidRPr="0044492B">
        <w:rPr>
          <w:rFonts w:ascii="Arial" w:hAnsi="Arial" w:cs="Arial"/>
          <w:bCs/>
        </w:rPr>
        <w:t>ntroduc</w:t>
      </w:r>
      <w:r w:rsidR="00691B58">
        <w:rPr>
          <w:rFonts w:ascii="Arial" w:hAnsi="Arial" w:cs="Arial"/>
          <w:bCs/>
        </w:rPr>
        <w:t>e</w:t>
      </w:r>
      <w:r w:rsidR="00894BE6">
        <w:rPr>
          <w:rFonts w:ascii="Arial" w:hAnsi="Arial" w:cs="Arial"/>
          <w:bCs/>
        </w:rPr>
        <w:t xml:space="preserve"> legislation and</w:t>
      </w:r>
      <w:r w:rsidRPr="0044492B">
        <w:rPr>
          <w:rFonts w:ascii="Arial" w:hAnsi="Arial" w:cs="Arial"/>
          <w:bCs/>
        </w:rPr>
        <w:t xml:space="preserve"> standards </w:t>
      </w:r>
      <w:r w:rsidR="0044492B" w:rsidRPr="0044492B">
        <w:rPr>
          <w:rFonts w:ascii="Arial" w:hAnsi="Arial" w:cs="Arial"/>
          <w:bCs/>
        </w:rPr>
        <w:t xml:space="preserve">which </w:t>
      </w:r>
      <w:r w:rsidR="0044492B">
        <w:rPr>
          <w:rFonts w:ascii="Arial" w:hAnsi="Arial" w:cs="Arial"/>
          <w:bCs/>
        </w:rPr>
        <w:t>require</w:t>
      </w:r>
      <w:r w:rsidRPr="0044492B">
        <w:rPr>
          <w:rFonts w:ascii="Arial" w:hAnsi="Arial" w:cs="Arial"/>
          <w:bCs/>
        </w:rPr>
        <w:t xml:space="preserve"> a proportion of all new larger residential developments to comply</w:t>
      </w:r>
      <w:r w:rsidR="0044492B">
        <w:rPr>
          <w:rFonts w:ascii="Arial" w:hAnsi="Arial" w:cs="Arial"/>
          <w:bCs/>
        </w:rPr>
        <w:t xml:space="preserve"> with the Disability </w:t>
      </w:r>
      <w:r w:rsidR="00894BE6">
        <w:rPr>
          <w:rFonts w:ascii="Arial" w:hAnsi="Arial" w:cs="Arial"/>
          <w:bCs/>
        </w:rPr>
        <w:t>Discrimination Act (DDA)</w:t>
      </w:r>
      <w:r w:rsidR="003B6385">
        <w:rPr>
          <w:rFonts w:ascii="Arial" w:hAnsi="Arial" w:cs="Arial"/>
          <w:bCs/>
        </w:rPr>
        <w:t xml:space="preserve"> and the</w:t>
      </w:r>
      <w:r w:rsidR="00894BE6">
        <w:rPr>
          <w:rFonts w:ascii="Arial" w:hAnsi="Arial" w:cs="Arial"/>
          <w:bCs/>
        </w:rPr>
        <w:t xml:space="preserve"> </w:t>
      </w:r>
      <w:r w:rsidR="003B6385">
        <w:rPr>
          <w:rFonts w:ascii="Arial" w:hAnsi="Arial" w:cs="Arial"/>
          <w:bCs/>
        </w:rPr>
        <w:t>Disability (</w:t>
      </w:r>
      <w:r w:rsidR="003B6385" w:rsidRPr="00C94627">
        <w:rPr>
          <w:rFonts w:ascii="Arial" w:hAnsi="Arial" w:cs="Arial"/>
          <w:bCs/>
        </w:rPr>
        <w:t>Access to Premises</w:t>
      </w:r>
      <w:r w:rsidR="003B6385">
        <w:rPr>
          <w:rFonts w:ascii="Arial" w:hAnsi="Arial" w:cs="Arial"/>
          <w:bCs/>
        </w:rPr>
        <w:t xml:space="preserve"> – Buildings)</w:t>
      </w:r>
      <w:r w:rsidR="003B6385" w:rsidRPr="00C94627">
        <w:rPr>
          <w:rFonts w:ascii="Arial" w:hAnsi="Arial" w:cs="Arial"/>
          <w:bCs/>
        </w:rPr>
        <w:t xml:space="preserve"> </w:t>
      </w:r>
      <w:r w:rsidR="003B6385">
        <w:rPr>
          <w:rFonts w:ascii="Arial" w:hAnsi="Arial" w:cs="Arial"/>
          <w:bCs/>
        </w:rPr>
        <w:t>Standards.</w:t>
      </w:r>
    </w:p>
    <w:p w:rsidR="002441F3" w:rsidRDefault="002441F3" w:rsidP="00C94627">
      <w:pPr>
        <w:spacing w:after="0" w:line="240" w:lineRule="auto"/>
        <w:rPr>
          <w:rStyle w:val="Heading4Char"/>
          <w:rFonts w:eastAsia="Cambria" w:cs="Arial"/>
          <w:color w:val="76923C" w:themeColor="accent3" w:themeShade="BF"/>
          <w:szCs w:val="22"/>
        </w:rPr>
      </w:pPr>
    </w:p>
    <w:p w:rsidR="00A31D01" w:rsidRDefault="00A31D01">
      <w:pPr>
        <w:rPr>
          <w:rStyle w:val="Heading4Char"/>
          <w:rFonts w:eastAsia="Cambria" w:cs="Arial"/>
          <w:color w:val="76923C" w:themeColor="accent3" w:themeShade="BF"/>
          <w:szCs w:val="22"/>
        </w:rPr>
      </w:pPr>
      <w:r>
        <w:rPr>
          <w:rStyle w:val="Heading4Char"/>
          <w:rFonts w:eastAsia="Cambria" w:cs="Arial"/>
          <w:color w:val="76923C" w:themeColor="accent3" w:themeShade="BF"/>
          <w:szCs w:val="22"/>
        </w:rPr>
        <w:br w:type="page"/>
      </w:r>
    </w:p>
    <w:p w:rsidR="00DE5263" w:rsidRPr="00875098" w:rsidRDefault="006C4107" w:rsidP="00C94627">
      <w:pPr>
        <w:spacing w:after="0" w:line="240" w:lineRule="auto"/>
        <w:rPr>
          <w:rFonts w:ascii="Arial" w:hAnsi="Arial" w:cs="Arial"/>
          <w:b/>
          <w:color w:val="76923C" w:themeColor="accent3" w:themeShade="BF"/>
        </w:rPr>
      </w:pPr>
      <w:r w:rsidRPr="006C4107">
        <w:rPr>
          <w:rStyle w:val="Heading4Char"/>
          <w:rFonts w:eastAsia="Cambria" w:cs="Arial"/>
          <w:color w:val="76923C" w:themeColor="accent3" w:themeShade="BF"/>
          <w:szCs w:val="22"/>
        </w:rPr>
        <w:lastRenderedPageBreak/>
        <w:t>Environmental Sustainability</w:t>
      </w:r>
    </w:p>
    <w:p w:rsidR="00DE5263" w:rsidRDefault="00DE5263" w:rsidP="00A31D01">
      <w:pPr>
        <w:spacing w:before="120" w:after="0" w:line="240" w:lineRule="auto"/>
        <w:jc w:val="both"/>
        <w:rPr>
          <w:rStyle w:val="Heading4Char"/>
          <w:rFonts w:eastAsia="Cambria" w:cs="Arial"/>
          <w:b w:val="0"/>
          <w:szCs w:val="22"/>
        </w:rPr>
      </w:pPr>
      <w:bookmarkStart w:id="15" w:name="_Toc372037854"/>
      <w:bookmarkStart w:id="16" w:name="_Toc372187894"/>
      <w:r w:rsidRPr="00C94627">
        <w:rPr>
          <w:rStyle w:val="Heading4Char"/>
          <w:rFonts w:eastAsia="Cambria" w:cs="Arial"/>
          <w:b w:val="0"/>
          <w:szCs w:val="22"/>
        </w:rPr>
        <w:t>Hobsons Bay City Council would welcome the embedding of best practice Environmentally Sustainable Design (ESD) principles in the design of new buildings.  As well as the associated environmental benefits, dwellings that incorporate sustainable design assist in reducing the cost of energy bills thus reducing the cost of living</w:t>
      </w:r>
      <w:bookmarkEnd w:id="15"/>
      <w:bookmarkEnd w:id="16"/>
      <w:r w:rsidR="005750FB" w:rsidRPr="00C94627">
        <w:rPr>
          <w:rStyle w:val="Heading4Char"/>
          <w:rFonts w:eastAsia="Cambria" w:cs="Arial"/>
          <w:b w:val="0"/>
          <w:szCs w:val="22"/>
        </w:rPr>
        <w:t>.</w:t>
      </w:r>
      <w:r w:rsidRPr="00C94627">
        <w:rPr>
          <w:rStyle w:val="Heading4Char"/>
          <w:rFonts w:eastAsia="Cambria" w:cs="Arial"/>
          <w:b w:val="0"/>
          <w:szCs w:val="22"/>
        </w:rPr>
        <w:t xml:space="preserve">  </w:t>
      </w:r>
    </w:p>
    <w:p w:rsidR="00601980" w:rsidRPr="00C94627" w:rsidRDefault="00601980" w:rsidP="00C94627">
      <w:pPr>
        <w:spacing w:after="0" w:line="240" w:lineRule="auto"/>
        <w:jc w:val="both"/>
        <w:rPr>
          <w:rStyle w:val="Heading4Char"/>
          <w:rFonts w:eastAsia="Cambria" w:cs="Arial"/>
          <w:b w:val="0"/>
          <w:szCs w:val="22"/>
        </w:rPr>
      </w:pPr>
    </w:p>
    <w:p w:rsidR="00DE5263" w:rsidRPr="00C94627" w:rsidRDefault="00DE5263" w:rsidP="00C94627">
      <w:pPr>
        <w:spacing w:after="0" w:line="240" w:lineRule="auto"/>
        <w:jc w:val="both"/>
        <w:rPr>
          <w:rStyle w:val="Heading4Char"/>
          <w:rFonts w:eastAsia="Cambria" w:cs="Arial"/>
          <w:b w:val="0"/>
          <w:szCs w:val="22"/>
        </w:rPr>
      </w:pPr>
      <w:bookmarkStart w:id="17" w:name="_Toc372037855"/>
      <w:bookmarkStart w:id="18" w:name="_Toc372187895"/>
      <w:r w:rsidRPr="00C94627">
        <w:rPr>
          <w:rStyle w:val="Heading4Char"/>
          <w:rFonts w:eastAsia="Cambria" w:cs="Arial"/>
          <w:b w:val="0"/>
          <w:szCs w:val="22"/>
        </w:rPr>
        <w:t>Currently, the support for sustainable development is not adequately reflected in the Victoria Planning Provisions.  State level policies require land use and development to consider energy and resource efficiency but there is no statutory requirement for sustainability tools to be used when assessing new development applications</w:t>
      </w:r>
      <w:bookmarkEnd w:id="17"/>
      <w:bookmarkEnd w:id="18"/>
      <w:r w:rsidR="005750FB" w:rsidRPr="00C94627">
        <w:rPr>
          <w:rStyle w:val="Heading4Char"/>
          <w:rFonts w:eastAsia="Cambria" w:cs="Arial"/>
          <w:b w:val="0"/>
          <w:szCs w:val="22"/>
        </w:rPr>
        <w:t>.</w:t>
      </w:r>
    </w:p>
    <w:p w:rsidR="00601980" w:rsidRDefault="00601980" w:rsidP="00C94627">
      <w:pPr>
        <w:spacing w:after="0" w:line="240" w:lineRule="auto"/>
        <w:jc w:val="both"/>
        <w:rPr>
          <w:rStyle w:val="Heading4Char"/>
          <w:rFonts w:eastAsia="Cambria" w:cs="Arial"/>
          <w:b w:val="0"/>
          <w:szCs w:val="22"/>
        </w:rPr>
      </w:pPr>
      <w:bookmarkStart w:id="19" w:name="_Toc372037856"/>
      <w:bookmarkStart w:id="20" w:name="_Toc372187896"/>
    </w:p>
    <w:p w:rsidR="00DE5263" w:rsidRPr="00C94627" w:rsidRDefault="00DE5263" w:rsidP="00C94627">
      <w:pPr>
        <w:spacing w:after="0" w:line="240" w:lineRule="auto"/>
        <w:jc w:val="both"/>
        <w:rPr>
          <w:rFonts w:ascii="Arial" w:hAnsi="Arial" w:cs="Arial"/>
        </w:rPr>
      </w:pPr>
      <w:r w:rsidRPr="00C94627">
        <w:rPr>
          <w:rStyle w:val="Heading4Char"/>
          <w:rFonts w:eastAsia="Cambria" w:cs="Arial"/>
          <w:b w:val="0"/>
          <w:szCs w:val="22"/>
        </w:rPr>
        <w:t>Hobsons Bay City Council require</w:t>
      </w:r>
      <w:r w:rsidR="005750FB" w:rsidRPr="00C94627">
        <w:rPr>
          <w:rStyle w:val="Heading4Char"/>
          <w:rFonts w:eastAsia="Cambria" w:cs="Arial"/>
          <w:b w:val="0"/>
          <w:szCs w:val="22"/>
        </w:rPr>
        <w:t>s</w:t>
      </w:r>
      <w:r w:rsidRPr="00C94627">
        <w:rPr>
          <w:rStyle w:val="Heading4Char"/>
          <w:rFonts w:eastAsia="Cambria" w:cs="Arial"/>
          <w:b w:val="0"/>
          <w:szCs w:val="22"/>
        </w:rPr>
        <w:t xml:space="preserve"> Sustainable Design Assessments (STEPS and SDS) to be submitted for certain types of development, although this is not a statutory requirement</w:t>
      </w:r>
      <w:bookmarkEnd w:id="19"/>
      <w:bookmarkEnd w:id="20"/>
      <w:r w:rsidRPr="00C94627">
        <w:rPr>
          <w:rStyle w:val="Heading4Char"/>
          <w:rFonts w:eastAsia="Cambria" w:cs="Arial"/>
          <w:b w:val="0"/>
          <w:szCs w:val="22"/>
        </w:rPr>
        <w:t>. Some o</w:t>
      </w:r>
      <w:r w:rsidRPr="00C94627">
        <w:rPr>
          <w:rFonts w:ascii="Arial" w:hAnsi="Arial" w:cs="Arial"/>
        </w:rPr>
        <w:t xml:space="preserve">ther </w:t>
      </w:r>
      <w:r w:rsidR="00601980">
        <w:rPr>
          <w:rFonts w:ascii="Arial" w:hAnsi="Arial" w:cs="Arial"/>
        </w:rPr>
        <w:t>c</w:t>
      </w:r>
      <w:r w:rsidRPr="00C94627">
        <w:rPr>
          <w:rFonts w:ascii="Arial" w:hAnsi="Arial" w:cs="Arial"/>
        </w:rPr>
        <w:t>ouncil</w:t>
      </w:r>
      <w:r w:rsidR="00601980">
        <w:rPr>
          <w:rFonts w:ascii="Arial" w:hAnsi="Arial" w:cs="Arial"/>
        </w:rPr>
        <w:t>’</w:t>
      </w:r>
      <w:r w:rsidRPr="00C94627">
        <w:rPr>
          <w:rFonts w:ascii="Arial" w:hAnsi="Arial" w:cs="Arial"/>
        </w:rPr>
        <w:t>s</w:t>
      </w:r>
      <w:r w:rsidRPr="00C94627">
        <w:rPr>
          <w:rStyle w:val="Heading4Char"/>
          <w:rFonts w:eastAsia="Cambria" w:cs="Arial"/>
          <w:b w:val="0"/>
          <w:bCs w:val="0"/>
          <w:szCs w:val="22"/>
        </w:rPr>
        <w:t xml:space="preserve"> have </w:t>
      </w:r>
      <w:r w:rsidRPr="00C94627">
        <w:rPr>
          <w:rFonts w:ascii="Arial" w:hAnsi="Arial" w:cs="Arial"/>
        </w:rPr>
        <w:t xml:space="preserve">developed and incorporated an ESD policy </w:t>
      </w:r>
      <w:r w:rsidR="00F300B3">
        <w:rPr>
          <w:rFonts w:ascii="Arial" w:hAnsi="Arial" w:cs="Arial"/>
        </w:rPr>
        <w:t xml:space="preserve">in their Planning Schemes </w:t>
      </w:r>
      <w:r w:rsidR="00601980">
        <w:rPr>
          <w:rFonts w:ascii="Arial" w:hAnsi="Arial" w:cs="Arial"/>
        </w:rPr>
        <w:t>however the weight that this has in VCAT is still varied</w:t>
      </w:r>
      <w:r w:rsidR="005750FB" w:rsidRPr="00C94627">
        <w:rPr>
          <w:rFonts w:ascii="Arial" w:hAnsi="Arial" w:cs="Arial"/>
        </w:rPr>
        <w:t>.</w:t>
      </w:r>
    </w:p>
    <w:p w:rsidR="001C5F41" w:rsidRDefault="001C5F41" w:rsidP="00C94627">
      <w:pPr>
        <w:spacing w:after="0" w:line="240" w:lineRule="auto"/>
        <w:rPr>
          <w:rFonts w:ascii="Arial" w:hAnsi="Arial" w:cs="Arial"/>
          <w:bCs/>
        </w:rPr>
      </w:pPr>
    </w:p>
    <w:p w:rsidR="00601980" w:rsidRDefault="00894BE6" w:rsidP="00C94627">
      <w:pPr>
        <w:spacing w:after="0" w:line="240" w:lineRule="auto"/>
        <w:rPr>
          <w:rFonts w:ascii="Arial" w:hAnsi="Arial" w:cs="Arial"/>
        </w:rPr>
      </w:pPr>
      <w:r w:rsidRPr="00894BE6">
        <w:rPr>
          <w:rFonts w:ascii="Arial" w:hAnsi="Arial" w:cs="Arial"/>
          <w:b/>
        </w:rPr>
        <w:t>Recomm</w:t>
      </w:r>
      <w:r w:rsidR="002441F3">
        <w:rPr>
          <w:rFonts w:ascii="Arial" w:hAnsi="Arial" w:cs="Arial"/>
          <w:b/>
        </w:rPr>
        <w:t>e</w:t>
      </w:r>
      <w:r w:rsidRPr="00894BE6">
        <w:rPr>
          <w:rFonts w:ascii="Arial" w:hAnsi="Arial" w:cs="Arial"/>
          <w:b/>
        </w:rPr>
        <w:t xml:space="preserve">ndation </w:t>
      </w:r>
      <w:r>
        <w:rPr>
          <w:rFonts w:ascii="Arial" w:hAnsi="Arial" w:cs="Arial"/>
          <w:b/>
        </w:rPr>
        <w:t>9</w:t>
      </w:r>
      <w:r>
        <w:rPr>
          <w:rFonts w:ascii="Arial" w:hAnsi="Arial" w:cs="Arial"/>
        </w:rPr>
        <w:t>:</w:t>
      </w:r>
      <w:r w:rsidR="0047634A">
        <w:rPr>
          <w:rFonts w:ascii="Arial" w:hAnsi="Arial" w:cs="Arial"/>
        </w:rPr>
        <w:t xml:space="preserve">  </w:t>
      </w:r>
      <w:r w:rsidRPr="0044492B">
        <w:rPr>
          <w:rFonts w:ascii="Arial" w:hAnsi="Arial" w:cs="Arial"/>
        </w:rPr>
        <w:t>Review and strengthen the current ESD requirements for new housing</w:t>
      </w:r>
    </w:p>
    <w:p w:rsidR="00894BE6" w:rsidRDefault="00894BE6" w:rsidP="00C94627">
      <w:pPr>
        <w:spacing w:after="0" w:line="240" w:lineRule="auto"/>
        <w:rPr>
          <w:rFonts w:ascii="Arial" w:hAnsi="Arial" w:cs="Arial"/>
        </w:rPr>
      </w:pPr>
    </w:p>
    <w:p w:rsidR="00894BE6" w:rsidRPr="00C94627" w:rsidRDefault="00894BE6" w:rsidP="00C94627">
      <w:pPr>
        <w:spacing w:after="0" w:line="240" w:lineRule="auto"/>
        <w:rPr>
          <w:rFonts w:ascii="Arial" w:hAnsi="Arial" w:cs="Arial"/>
          <w:bCs/>
        </w:rPr>
      </w:pPr>
    </w:p>
    <w:p w:rsidR="00DE0834" w:rsidRDefault="00DE0834">
      <w:pPr>
        <w:rPr>
          <w:rStyle w:val="Heading4Char"/>
          <w:rFonts w:eastAsia="Cambria" w:cs="Arial"/>
          <w:bCs w:val="0"/>
          <w:color w:val="76923C" w:themeColor="accent3" w:themeShade="BF"/>
          <w:szCs w:val="22"/>
        </w:rPr>
      </w:pPr>
      <w:r>
        <w:rPr>
          <w:rStyle w:val="Heading4Char"/>
          <w:rFonts w:eastAsia="Cambria" w:cs="Arial"/>
          <w:bCs w:val="0"/>
          <w:color w:val="76923C" w:themeColor="accent3" w:themeShade="BF"/>
          <w:szCs w:val="22"/>
        </w:rPr>
        <w:br w:type="page"/>
      </w:r>
    </w:p>
    <w:p w:rsidR="005750FB" w:rsidRDefault="00973D3E" w:rsidP="00C94627">
      <w:pPr>
        <w:spacing w:after="0" w:line="240" w:lineRule="auto"/>
        <w:rPr>
          <w:rStyle w:val="Heading4Char"/>
          <w:rFonts w:eastAsia="Cambria" w:cs="Arial"/>
          <w:bCs w:val="0"/>
          <w:color w:val="76923C" w:themeColor="accent3" w:themeShade="BF"/>
          <w:sz w:val="32"/>
          <w:szCs w:val="32"/>
        </w:rPr>
      </w:pPr>
      <w:r>
        <w:rPr>
          <w:rStyle w:val="Heading4Char"/>
          <w:rFonts w:eastAsia="Cambria" w:cs="Arial"/>
          <w:bCs w:val="0"/>
          <w:color w:val="76923C" w:themeColor="accent3" w:themeShade="BF"/>
          <w:sz w:val="32"/>
          <w:szCs w:val="32"/>
        </w:rPr>
        <w:lastRenderedPageBreak/>
        <w:t xml:space="preserve">Conclusion and </w:t>
      </w:r>
      <w:r w:rsidR="00601980" w:rsidRPr="00DE0834">
        <w:rPr>
          <w:rStyle w:val="Heading4Char"/>
          <w:rFonts w:eastAsia="Cambria" w:cs="Arial"/>
          <w:bCs w:val="0"/>
          <w:color w:val="76923C" w:themeColor="accent3" w:themeShade="BF"/>
          <w:sz w:val="32"/>
          <w:szCs w:val="32"/>
        </w:rPr>
        <w:t>Summary of Recommendations</w:t>
      </w:r>
    </w:p>
    <w:p w:rsidR="00745853" w:rsidRPr="00973D3E" w:rsidRDefault="00745853" w:rsidP="00973D3E">
      <w:pPr>
        <w:spacing w:after="100" w:afterAutospacing="1" w:line="240" w:lineRule="auto"/>
        <w:rPr>
          <w:rStyle w:val="Heading4Char"/>
          <w:rFonts w:eastAsia="Cambria" w:cs="Arial"/>
          <w:b w:val="0"/>
          <w:bCs w:val="0"/>
          <w:color w:val="76923C" w:themeColor="accent3" w:themeShade="BF"/>
          <w:szCs w:val="22"/>
        </w:rPr>
      </w:pPr>
    </w:p>
    <w:p w:rsidR="00973D3E" w:rsidRDefault="00973D3E" w:rsidP="00F300B3">
      <w:pPr>
        <w:spacing w:after="0"/>
        <w:jc w:val="both"/>
        <w:rPr>
          <w:rFonts w:ascii="Arial" w:hAnsi="Arial" w:cs="Arial"/>
          <w:bCs/>
        </w:rPr>
      </w:pPr>
      <w:r w:rsidRPr="00973D3E">
        <w:rPr>
          <w:rFonts w:ascii="Arial" w:hAnsi="Arial" w:cs="Arial"/>
          <w:bCs/>
        </w:rPr>
        <w:t>Below are the summary of the Council’s key recommendations articul</w:t>
      </w:r>
      <w:r w:rsidR="00F300B3">
        <w:rPr>
          <w:rFonts w:ascii="Arial" w:hAnsi="Arial" w:cs="Arial"/>
          <w:bCs/>
        </w:rPr>
        <w:t>ated throughout the submission.</w:t>
      </w:r>
      <w:r w:rsidRPr="00973D3E">
        <w:rPr>
          <w:rFonts w:ascii="Arial" w:hAnsi="Arial" w:cs="Arial"/>
          <w:bCs/>
        </w:rPr>
        <w:t xml:space="preserve"> The Council looks forward to the release of the final report from the senate inquiry and the recommended ways to improve safe and secure affordable housing across the nation.  </w:t>
      </w:r>
    </w:p>
    <w:p w:rsidR="00973D3E" w:rsidRPr="00973D3E" w:rsidRDefault="00973D3E" w:rsidP="00973D3E">
      <w:pPr>
        <w:spacing w:after="0" w:line="324" w:lineRule="auto"/>
        <w:jc w:val="both"/>
        <w:rPr>
          <w:rFonts w:ascii="Arial" w:hAnsi="Arial" w:cs="Arial"/>
          <w:bCs/>
        </w:rPr>
      </w:pPr>
    </w:p>
    <w:p w:rsidR="0044492B" w:rsidRDefault="0044492B" w:rsidP="0044492B">
      <w:pPr>
        <w:spacing w:after="0" w:line="240" w:lineRule="auto"/>
        <w:jc w:val="both"/>
        <w:rPr>
          <w:rFonts w:ascii="Arial" w:hAnsi="Arial" w:cs="Arial"/>
          <w:color w:val="000000" w:themeColor="text1"/>
        </w:rPr>
      </w:pPr>
      <w:r w:rsidRPr="006C4107">
        <w:rPr>
          <w:rFonts w:ascii="Arial" w:hAnsi="Arial" w:cs="Arial"/>
          <w:b/>
          <w:color w:val="000000" w:themeColor="text1"/>
        </w:rPr>
        <w:t>Recommendation</w:t>
      </w:r>
      <w:r>
        <w:rPr>
          <w:rFonts w:ascii="Arial" w:hAnsi="Arial" w:cs="Arial"/>
          <w:b/>
          <w:color w:val="000000" w:themeColor="text1"/>
        </w:rPr>
        <w:t xml:space="preserve"> 1</w:t>
      </w:r>
      <w:r>
        <w:rPr>
          <w:rFonts w:ascii="Arial" w:hAnsi="Arial" w:cs="Arial"/>
          <w:color w:val="000000" w:themeColor="text1"/>
        </w:rPr>
        <w:t>:</w:t>
      </w:r>
      <w:r w:rsidR="00F300B3">
        <w:rPr>
          <w:rFonts w:ascii="Arial" w:hAnsi="Arial" w:cs="Arial"/>
          <w:color w:val="000000" w:themeColor="text1"/>
        </w:rPr>
        <w:t xml:space="preserve"> </w:t>
      </w:r>
      <w:r w:rsidR="00745853">
        <w:rPr>
          <w:rFonts w:ascii="Arial" w:hAnsi="Arial" w:cs="Arial"/>
          <w:color w:val="000000" w:themeColor="text1"/>
        </w:rPr>
        <w:t>That the federal and state governments develop a universal definition that describes what type of housing and income groups fall within affordable housing.</w:t>
      </w:r>
    </w:p>
    <w:p w:rsidR="00390E9E" w:rsidRPr="00C94627" w:rsidRDefault="00390E9E" w:rsidP="00C94627">
      <w:pPr>
        <w:pStyle w:val="ListParagraph"/>
        <w:spacing w:after="0" w:line="240" w:lineRule="auto"/>
        <w:rPr>
          <w:rFonts w:ascii="Arial" w:hAnsi="Arial" w:cs="Arial"/>
          <w:bCs/>
        </w:rPr>
      </w:pPr>
    </w:p>
    <w:p w:rsidR="005750FB" w:rsidRPr="00C94627" w:rsidRDefault="0044492B" w:rsidP="00C94627">
      <w:pPr>
        <w:spacing w:after="0" w:line="240" w:lineRule="auto"/>
        <w:rPr>
          <w:rFonts w:ascii="Arial" w:hAnsi="Arial" w:cs="Arial"/>
          <w:bCs/>
        </w:rPr>
      </w:pPr>
      <w:r w:rsidRPr="006C4107">
        <w:rPr>
          <w:rFonts w:ascii="Arial" w:hAnsi="Arial" w:cs="Arial"/>
          <w:b/>
        </w:rPr>
        <w:t>Recommendation</w:t>
      </w:r>
      <w:r>
        <w:rPr>
          <w:rFonts w:ascii="Arial" w:hAnsi="Arial" w:cs="Arial"/>
          <w:b/>
        </w:rPr>
        <w:t xml:space="preserve"> 2</w:t>
      </w:r>
      <w:r>
        <w:rPr>
          <w:rFonts w:ascii="Arial" w:hAnsi="Arial" w:cs="Arial"/>
        </w:rPr>
        <w:t xml:space="preserve">: </w:t>
      </w:r>
      <w:r w:rsidR="00745853">
        <w:rPr>
          <w:rFonts w:ascii="Arial" w:hAnsi="Arial" w:cs="Arial"/>
        </w:rPr>
        <w:t>Using the definition of affordability outlined in Recommendation 1, identify the spectrum of affordability and its impact in order to target a concerted response.</w:t>
      </w:r>
    </w:p>
    <w:p w:rsidR="00195FAC" w:rsidRPr="00C94627" w:rsidRDefault="00195FAC" w:rsidP="00C94627">
      <w:pPr>
        <w:spacing w:after="0" w:line="240" w:lineRule="auto"/>
        <w:rPr>
          <w:rFonts w:ascii="Arial" w:hAnsi="Arial" w:cs="Arial"/>
          <w:bCs/>
        </w:rPr>
      </w:pPr>
    </w:p>
    <w:p w:rsidR="0044492B" w:rsidRDefault="0044492B" w:rsidP="0044492B">
      <w:pPr>
        <w:spacing w:after="0" w:line="240" w:lineRule="auto"/>
        <w:rPr>
          <w:rFonts w:ascii="Arial" w:hAnsi="Arial" w:cs="Arial"/>
        </w:rPr>
      </w:pPr>
      <w:r w:rsidRPr="006C4107">
        <w:rPr>
          <w:rFonts w:ascii="Arial" w:hAnsi="Arial" w:cs="Arial"/>
          <w:b/>
        </w:rPr>
        <w:t>Recommendation</w:t>
      </w:r>
      <w:r>
        <w:rPr>
          <w:rFonts w:ascii="Arial" w:hAnsi="Arial" w:cs="Arial"/>
          <w:b/>
        </w:rPr>
        <w:t xml:space="preserve"> 3</w:t>
      </w:r>
      <w:r w:rsidRPr="006C4107">
        <w:rPr>
          <w:rFonts w:ascii="Arial" w:hAnsi="Arial" w:cs="Arial"/>
          <w:b/>
        </w:rPr>
        <w:t>:</w:t>
      </w:r>
      <w:r>
        <w:rPr>
          <w:rFonts w:ascii="Arial" w:hAnsi="Arial" w:cs="Arial"/>
        </w:rPr>
        <w:t xml:space="preserve"> </w:t>
      </w:r>
      <w:r w:rsidR="00034CC3">
        <w:rPr>
          <w:rFonts w:ascii="Arial" w:hAnsi="Arial" w:cs="Arial"/>
        </w:rPr>
        <w:t>That state and federal governments provide clear affordable housing implementation tools for land use planning and articulate the role of local government and other key stakeholders.</w:t>
      </w:r>
    </w:p>
    <w:p w:rsidR="00B22C2F" w:rsidRDefault="00B22C2F" w:rsidP="00C94627">
      <w:pPr>
        <w:spacing w:after="0" w:line="240" w:lineRule="auto"/>
        <w:rPr>
          <w:rFonts w:ascii="Arial" w:hAnsi="Arial" w:cs="Arial"/>
        </w:rPr>
      </w:pPr>
    </w:p>
    <w:p w:rsidR="0044492B" w:rsidRDefault="0044492B" w:rsidP="0044492B">
      <w:pPr>
        <w:spacing w:after="0" w:line="240" w:lineRule="auto"/>
        <w:jc w:val="both"/>
        <w:rPr>
          <w:rFonts w:ascii="Arial" w:hAnsi="Arial" w:cs="Arial"/>
        </w:rPr>
      </w:pPr>
      <w:r w:rsidRPr="0044492B">
        <w:rPr>
          <w:rFonts w:ascii="Arial" w:hAnsi="Arial" w:cs="Arial"/>
          <w:b/>
        </w:rPr>
        <w:t>Recommendation 4</w:t>
      </w:r>
      <w:r>
        <w:rPr>
          <w:rFonts w:ascii="Arial" w:hAnsi="Arial" w:cs="Arial"/>
        </w:rPr>
        <w:t>: Continue to fund NRAS and undertake a review of the 10 year sunset clause in order to identify the likely impacts on housing supply for moderate income hous</w:t>
      </w:r>
      <w:r w:rsidR="002441F3">
        <w:rPr>
          <w:rFonts w:ascii="Arial" w:hAnsi="Arial" w:cs="Arial"/>
        </w:rPr>
        <w:t>e</w:t>
      </w:r>
      <w:r>
        <w:rPr>
          <w:rFonts w:ascii="Arial" w:hAnsi="Arial" w:cs="Arial"/>
        </w:rPr>
        <w:t>holds</w:t>
      </w:r>
      <w:r w:rsidR="002441F3">
        <w:rPr>
          <w:rFonts w:ascii="Arial" w:hAnsi="Arial" w:cs="Arial"/>
        </w:rPr>
        <w:t>.</w:t>
      </w:r>
    </w:p>
    <w:p w:rsidR="0044492B" w:rsidRDefault="0044492B" w:rsidP="0044492B">
      <w:pPr>
        <w:spacing w:after="0" w:line="240" w:lineRule="auto"/>
        <w:jc w:val="both"/>
        <w:rPr>
          <w:rFonts w:ascii="Arial" w:hAnsi="Arial" w:cs="Arial"/>
        </w:rPr>
      </w:pPr>
    </w:p>
    <w:p w:rsidR="0044492B" w:rsidRDefault="0044492B" w:rsidP="0044492B">
      <w:pPr>
        <w:tabs>
          <w:tab w:val="left" w:pos="993"/>
        </w:tabs>
        <w:spacing w:after="0" w:line="240" w:lineRule="auto"/>
        <w:rPr>
          <w:rFonts w:ascii="Arial" w:hAnsi="Arial" w:cs="Arial"/>
        </w:rPr>
      </w:pPr>
      <w:r w:rsidRPr="0044492B">
        <w:rPr>
          <w:rFonts w:ascii="Arial" w:hAnsi="Arial" w:cs="Arial"/>
          <w:b/>
        </w:rPr>
        <w:t>Recommendation 5</w:t>
      </w:r>
      <w:r>
        <w:rPr>
          <w:rFonts w:ascii="Arial" w:hAnsi="Arial" w:cs="Arial"/>
        </w:rPr>
        <w:t xml:space="preserve">: </w:t>
      </w:r>
      <w:r w:rsidR="00745853">
        <w:rPr>
          <w:rFonts w:ascii="Arial" w:hAnsi="Arial" w:cs="Arial"/>
        </w:rPr>
        <w:t>Introduce a system to enable compulsory contributions for developers of larger residential development sites to fund an increase of social housing.</w:t>
      </w:r>
    </w:p>
    <w:p w:rsidR="0044492B" w:rsidRDefault="0044492B" w:rsidP="0044492B">
      <w:pPr>
        <w:tabs>
          <w:tab w:val="left" w:pos="993"/>
        </w:tabs>
        <w:spacing w:after="0" w:line="240" w:lineRule="auto"/>
        <w:rPr>
          <w:rFonts w:ascii="Arial" w:hAnsi="Arial" w:cs="Arial"/>
        </w:rPr>
      </w:pPr>
    </w:p>
    <w:p w:rsidR="0044492B" w:rsidRPr="0044492B" w:rsidRDefault="0044492B" w:rsidP="0044492B">
      <w:pPr>
        <w:spacing w:after="0" w:line="240" w:lineRule="auto"/>
        <w:jc w:val="both"/>
        <w:rPr>
          <w:rFonts w:ascii="Arial" w:hAnsi="Arial" w:cs="Arial"/>
        </w:rPr>
      </w:pPr>
      <w:r w:rsidRPr="0044492B">
        <w:rPr>
          <w:rFonts w:ascii="Arial" w:hAnsi="Arial" w:cs="Arial"/>
          <w:b/>
        </w:rPr>
        <w:t xml:space="preserve">Recommendation </w:t>
      </w:r>
      <w:r>
        <w:rPr>
          <w:rFonts w:ascii="Arial" w:hAnsi="Arial" w:cs="Arial"/>
          <w:b/>
        </w:rPr>
        <w:t>6</w:t>
      </w:r>
      <w:r w:rsidRPr="00745853">
        <w:rPr>
          <w:rFonts w:ascii="Arial" w:hAnsi="Arial" w:cs="Arial"/>
        </w:rPr>
        <w:t>:</w:t>
      </w:r>
      <w:r w:rsidR="00745853">
        <w:rPr>
          <w:rFonts w:ascii="Arial" w:hAnsi="Arial" w:cs="Arial"/>
          <w:b/>
        </w:rPr>
        <w:t xml:space="preserve"> </w:t>
      </w:r>
      <w:r w:rsidR="00745853">
        <w:rPr>
          <w:rFonts w:ascii="Arial" w:hAnsi="Arial" w:cs="Arial"/>
        </w:rPr>
        <w:t>Ensure that both the federal and state governments continue to be a key stakeholder in the provision of public housing.</w:t>
      </w:r>
    </w:p>
    <w:p w:rsidR="0044492B" w:rsidRDefault="0044492B" w:rsidP="0044492B">
      <w:pPr>
        <w:tabs>
          <w:tab w:val="left" w:pos="993"/>
        </w:tabs>
        <w:spacing w:after="0" w:line="240" w:lineRule="auto"/>
        <w:rPr>
          <w:rFonts w:ascii="Arial" w:hAnsi="Arial" w:cs="Arial"/>
        </w:rPr>
      </w:pPr>
    </w:p>
    <w:p w:rsidR="00894BE6" w:rsidRDefault="00894BE6" w:rsidP="0044492B">
      <w:pPr>
        <w:tabs>
          <w:tab w:val="left" w:pos="993"/>
        </w:tabs>
        <w:spacing w:after="0" w:line="240" w:lineRule="auto"/>
        <w:rPr>
          <w:rStyle w:val="Heading4Char"/>
          <w:rFonts w:eastAsia="Cambria" w:cs="Arial"/>
          <w:szCs w:val="22"/>
        </w:rPr>
      </w:pPr>
      <w:r>
        <w:rPr>
          <w:rFonts w:ascii="Arial" w:hAnsi="Arial" w:cs="Arial"/>
          <w:b/>
        </w:rPr>
        <w:t>Recommendation 7</w:t>
      </w:r>
      <w:r w:rsidRPr="00745853">
        <w:rPr>
          <w:rFonts w:ascii="Arial" w:hAnsi="Arial" w:cs="Arial"/>
        </w:rPr>
        <w:t>:</w:t>
      </w:r>
      <w:r>
        <w:rPr>
          <w:rFonts w:ascii="Arial" w:hAnsi="Arial" w:cs="Arial"/>
          <w:b/>
        </w:rPr>
        <w:t xml:space="preserve"> </w:t>
      </w:r>
      <w:r w:rsidRPr="00894BE6">
        <w:rPr>
          <w:rFonts w:ascii="Arial" w:hAnsi="Arial" w:cs="Arial"/>
        </w:rPr>
        <w:t>Continue to partner with the community housing sector in the provision and management of social housing</w:t>
      </w:r>
      <w:r w:rsidR="002441F3">
        <w:rPr>
          <w:rFonts w:ascii="Arial" w:hAnsi="Arial" w:cs="Arial"/>
        </w:rPr>
        <w:t>.</w:t>
      </w:r>
      <w:r w:rsidRPr="0044492B">
        <w:rPr>
          <w:rStyle w:val="Heading4Char"/>
          <w:rFonts w:eastAsia="Cambria" w:cs="Arial"/>
          <w:szCs w:val="22"/>
        </w:rPr>
        <w:t xml:space="preserve"> </w:t>
      </w:r>
    </w:p>
    <w:p w:rsidR="00894BE6" w:rsidRDefault="00894BE6" w:rsidP="0044492B">
      <w:pPr>
        <w:tabs>
          <w:tab w:val="left" w:pos="993"/>
        </w:tabs>
        <w:spacing w:after="0" w:line="240" w:lineRule="auto"/>
        <w:rPr>
          <w:rStyle w:val="Heading4Char"/>
          <w:rFonts w:eastAsia="Cambria" w:cs="Arial"/>
          <w:szCs w:val="22"/>
        </w:rPr>
      </w:pPr>
    </w:p>
    <w:p w:rsidR="003B6385" w:rsidRDefault="00894BE6" w:rsidP="003B6385">
      <w:pPr>
        <w:spacing w:after="0" w:line="240" w:lineRule="auto"/>
        <w:rPr>
          <w:rFonts w:ascii="Arial" w:hAnsi="Arial" w:cs="Arial"/>
          <w:bCs/>
        </w:rPr>
      </w:pPr>
      <w:r w:rsidRPr="0044492B">
        <w:rPr>
          <w:rStyle w:val="Heading4Char"/>
          <w:rFonts w:eastAsia="Cambria" w:cs="Arial"/>
          <w:szCs w:val="22"/>
        </w:rPr>
        <w:t>Recommendation</w:t>
      </w:r>
      <w:r>
        <w:rPr>
          <w:rStyle w:val="Heading4Char"/>
          <w:rFonts w:eastAsia="Cambria" w:cs="Arial"/>
          <w:szCs w:val="22"/>
        </w:rPr>
        <w:t xml:space="preserve"> 8</w:t>
      </w:r>
      <w:r w:rsidRPr="0044492B">
        <w:rPr>
          <w:rStyle w:val="Heading4Char"/>
          <w:rFonts w:eastAsia="Cambria" w:cs="Arial"/>
          <w:b w:val="0"/>
          <w:szCs w:val="22"/>
        </w:rPr>
        <w:t xml:space="preserve">: </w:t>
      </w:r>
      <w:r w:rsidR="003B6385">
        <w:rPr>
          <w:rFonts w:ascii="Arial" w:hAnsi="Arial" w:cs="Arial"/>
          <w:bCs/>
        </w:rPr>
        <w:t>I</w:t>
      </w:r>
      <w:r w:rsidR="003B6385" w:rsidRPr="0044492B">
        <w:rPr>
          <w:rFonts w:ascii="Arial" w:hAnsi="Arial" w:cs="Arial"/>
          <w:bCs/>
        </w:rPr>
        <w:t>ntroduc</w:t>
      </w:r>
      <w:r w:rsidR="003B6385">
        <w:rPr>
          <w:rFonts w:ascii="Arial" w:hAnsi="Arial" w:cs="Arial"/>
          <w:bCs/>
        </w:rPr>
        <w:t>e legislation and</w:t>
      </w:r>
      <w:r w:rsidR="003B6385" w:rsidRPr="0044492B">
        <w:rPr>
          <w:rFonts w:ascii="Arial" w:hAnsi="Arial" w:cs="Arial"/>
          <w:bCs/>
        </w:rPr>
        <w:t xml:space="preserve"> standards which </w:t>
      </w:r>
      <w:r w:rsidR="003B6385">
        <w:rPr>
          <w:rFonts w:ascii="Arial" w:hAnsi="Arial" w:cs="Arial"/>
          <w:bCs/>
        </w:rPr>
        <w:t>require</w:t>
      </w:r>
      <w:r w:rsidR="003B6385" w:rsidRPr="0044492B">
        <w:rPr>
          <w:rFonts w:ascii="Arial" w:hAnsi="Arial" w:cs="Arial"/>
          <w:bCs/>
        </w:rPr>
        <w:t xml:space="preserve"> a proportion of all new larger residential developments to comply</w:t>
      </w:r>
      <w:r w:rsidR="003B6385">
        <w:rPr>
          <w:rFonts w:ascii="Arial" w:hAnsi="Arial" w:cs="Arial"/>
          <w:bCs/>
        </w:rPr>
        <w:t xml:space="preserve"> with the Disability Discrimination Act (DDA) and the Disability (</w:t>
      </w:r>
      <w:r w:rsidR="003B6385" w:rsidRPr="00C94627">
        <w:rPr>
          <w:rFonts w:ascii="Arial" w:hAnsi="Arial" w:cs="Arial"/>
          <w:bCs/>
        </w:rPr>
        <w:t>Access to Premises</w:t>
      </w:r>
      <w:r w:rsidR="003B6385">
        <w:rPr>
          <w:rFonts w:ascii="Arial" w:hAnsi="Arial" w:cs="Arial"/>
          <w:bCs/>
        </w:rPr>
        <w:t xml:space="preserve"> – Buildings)</w:t>
      </w:r>
      <w:r w:rsidR="003B6385" w:rsidRPr="00C94627">
        <w:rPr>
          <w:rFonts w:ascii="Arial" w:hAnsi="Arial" w:cs="Arial"/>
          <w:bCs/>
        </w:rPr>
        <w:t xml:space="preserve"> </w:t>
      </w:r>
      <w:r w:rsidR="003B6385">
        <w:rPr>
          <w:rFonts w:ascii="Arial" w:hAnsi="Arial" w:cs="Arial"/>
          <w:bCs/>
        </w:rPr>
        <w:t>Standards.</w:t>
      </w:r>
    </w:p>
    <w:p w:rsidR="002441F3" w:rsidRDefault="002441F3" w:rsidP="0044492B">
      <w:pPr>
        <w:tabs>
          <w:tab w:val="left" w:pos="993"/>
        </w:tabs>
        <w:spacing w:after="0" w:line="240" w:lineRule="auto"/>
        <w:rPr>
          <w:rFonts w:ascii="Arial" w:hAnsi="Arial" w:cs="Arial"/>
          <w:bCs/>
        </w:rPr>
      </w:pPr>
    </w:p>
    <w:p w:rsidR="002441F3" w:rsidRDefault="002441F3" w:rsidP="002441F3">
      <w:pPr>
        <w:spacing w:after="0" w:line="240" w:lineRule="auto"/>
        <w:rPr>
          <w:rFonts w:ascii="Arial" w:hAnsi="Arial" w:cs="Arial"/>
        </w:rPr>
      </w:pPr>
      <w:r w:rsidRPr="00894BE6">
        <w:rPr>
          <w:rFonts w:ascii="Arial" w:hAnsi="Arial" w:cs="Arial"/>
          <w:b/>
        </w:rPr>
        <w:t>Recomm</w:t>
      </w:r>
      <w:r>
        <w:rPr>
          <w:rFonts w:ascii="Arial" w:hAnsi="Arial" w:cs="Arial"/>
          <w:b/>
        </w:rPr>
        <w:t>e</w:t>
      </w:r>
      <w:r w:rsidRPr="00894BE6">
        <w:rPr>
          <w:rFonts w:ascii="Arial" w:hAnsi="Arial" w:cs="Arial"/>
          <w:b/>
        </w:rPr>
        <w:t xml:space="preserve">ndation </w:t>
      </w:r>
      <w:r>
        <w:rPr>
          <w:rFonts w:ascii="Arial" w:hAnsi="Arial" w:cs="Arial"/>
          <w:b/>
        </w:rPr>
        <w:t>9</w:t>
      </w:r>
      <w:r>
        <w:rPr>
          <w:rFonts w:ascii="Arial" w:hAnsi="Arial" w:cs="Arial"/>
        </w:rPr>
        <w:t>:</w:t>
      </w:r>
      <w:r w:rsidR="00745853">
        <w:rPr>
          <w:rFonts w:ascii="Arial" w:hAnsi="Arial" w:cs="Arial"/>
        </w:rPr>
        <w:t xml:space="preserve"> </w:t>
      </w:r>
      <w:r w:rsidRPr="0044492B">
        <w:rPr>
          <w:rFonts w:ascii="Arial" w:hAnsi="Arial" w:cs="Arial"/>
        </w:rPr>
        <w:t>Review and strengthen the current ESD requirements for new housing</w:t>
      </w:r>
      <w:r>
        <w:rPr>
          <w:rFonts w:ascii="Arial" w:hAnsi="Arial" w:cs="Arial"/>
        </w:rPr>
        <w:t>.</w:t>
      </w:r>
    </w:p>
    <w:p w:rsidR="002441F3" w:rsidRDefault="002441F3" w:rsidP="0044492B">
      <w:pPr>
        <w:tabs>
          <w:tab w:val="left" w:pos="993"/>
        </w:tabs>
        <w:spacing w:after="0" w:line="240" w:lineRule="auto"/>
        <w:rPr>
          <w:rFonts w:ascii="Arial" w:hAnsi="Arial" w:cs="Arial"/>
        </w:rPr>
      </w:pPr>
    </w:p>
    <w:p w:rsidR="00745853" w:rsidRPr="00C94627" w:rsidRDefault="00745853" w:rsidP="0044492B">
      <w:pPr>
        <w:tabs>
          <w:tab w:val="left" w:pos="993"/>
        </w:tabs>
        <w:spacing w:after="0" w:line="240" w:lineRule="auto"/>
        <w:rPr>
          <w:rFonts w:ascii="Arial" w:hAnsi="Arial" w:cs="Arial"/>
        </w:rPr>
      </w:pPr>
    </w:p>
    <w:sectPr w:rsidR="00745853" w:rsidRPr="00C94627" w:rsidSect="00664266">
      <w:foot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BB5" w:rsidRDefault="00804BB5" w:rsidP="005A44EE">
      <w:pPr>
        <w:spacing w:after="0" w:line="240" w:lineRule="auto"/>
      </w:pPr>
      <w:r>
        <w:separator/>
      </w:r>
    </w:p>
  </w:endnote>
  <w:endnote w:type="continuationSeparator" w:id="0">
    <w:p w:rsidR="00804BB5" w:rsidRDefault="00804BB5" w:rsidP="005A44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34A" w:rsidRDefault="0047634A">
    <w:pPr>
      <w:pStyle w:val="Footer"/>
    </w:pPr>
    <w:r>
      <w:rPr>
        <w:noProof/>
        <w:lang w:eastAsia="en-AU"/>
      </w:rPr>
      <w:drawing>
        <wp:anchor distT="0" distB="0" distL="114300" distR="114300" simplePos="0" relativeHeight="251663360" behindDoc="0" locked="0" layoutInCell="1" allowOverlap="1">
          <wp:simplePos x="0" y="0"/>
          <wp:positionH relativeFrom="column">
            <wp:posOffset>152400</wp:posOffset>
          </wp:positionH>
          <wp:positionV relativeFrom="paragraph">
            <wp:posOffset>141605</wp:posOffset>
          </wp:positionV>
          <wp:extent cx="7910195" cy="638810"/>
          <wp:effectExtent l="19050" t="0" r="0" b="0"/>
          <wp:wrapSquare wrapText="bothSides"/>
          <wp:docPr id="7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r="1559" b="12820"/>
                  <a:stretch>
                    <a:fillRect/>
                  </a:stretch>
                </pic:blipFill>
                <pic:spPr bwMode="auto">
                  <a:xfrm>
                    <a:off x="0" y="0"/>
                    <a:ext cx="7910195" cy="638810"/>
                  </a:xfrm>
                  <a:prstGeom prst="rect">
                    <a:avLst/>
                  </a:prstGeom>
                  <a:noFill/>
                  <a:ln w="9525">
                    <a:noFill/>
                    <a:miter lim="800000"/>
                    <a:headEnd/>
                    <a:tailEnd/>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34A" w:rsidRDefault="0047634A">
    <w:pPr>
      <w:pStyle w:val="Footer"/>
      <w:jc w:val="center"/>
    </w:pPr>
    <w:r>
      <w:rPr>
        <w:noProof/>
        <w:lang w:eastAsia="en-AU"/>
      </w:rPr>
      <w:drawing>
        <wp:anchor distT="0" distB="0" distL="114300" distR="114300" simplePos="0" relativeHeight="251661312" behindDoc="0" locked="0" layoutInCell="1" allowOverlap="1">
          <wp:simplePos x="0" y="0"/>
          <wp:positionH relativeFrom="column">
            <wp:posOffset>-278765</wp:posOffset>
          </wp:positionH>
          <wp:positionV relativeFrom="paragraph">
            <wp:posOffset>148590</wp:posOffset>
          </wp:positionV>
          <wp:extent cx="7543800" cy="920115"/>
          <wp:effectExtent l="19050" t="0" r="0" b="0"/>
          <wp:wrapSquare wrapText="bothSides"/>
          <wp:docPr id="7" name="Picture 7" descr="Small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mall footer"/>
                  <pic:cNvPicPr>
                    <a:picLocks noChangeAspect="1" noChangeArrowheads="1"/>
                  </pic:cNvPicPr>
                </pic:nvPicPr>
                <pic:blipFill>
                  <a:blip r:embed="rId1"/>
                  <a:srcRect/>
                  <a:stretch>
                    <a:fillRect/>
                  </a:stretch>
                </pic:blipFill>
                <pic:spPr bwMode="auto">
                  <a:xfrm>
                    <a:off x="0" y="0"/>
                    <a:ext cx="7543800" cy="920115"/>
                  </a:xfrm>
                  <a:prstGeom prst="rect">
                    <a:avLst/>
                  </a:prstGeom>
                  <a:noFill/>
                  <a:ln w="9525">
                    <a:noFill/>
                    <a:miter lim="800000"/>
                    <a:headEnd/>
                    <a:tailEnd/>
                  </a:ln>
                </pic:spPr>
              </pic:pic>
            </a:graphicData>
          </a:graphic>
        </wp:anchor>
      </w:drawing>
    </w:r>
    <w:fldSimple w:instr=" PAGE   \* MERGEFORMAT ">
      <w:r>
        <w:rPr>
          <w:noProof/>
        </w:rPr>
        <w:t>2</w:t>
      </w:r>
    </w:fldSimple>
  </w:p>
  <w:p w:rsidR="0047634A" w:rsidRDefault="0047634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34A" w:rsidRDefault="0047634A">
    <w:pPr>
      <w:pStyle w:val="Footer"/>
    </w:pPr>
    <w:r>
      <w:rPr>
        <w:noProof/>
        <w:lang w:eastAsia="en-AU"/>
      </w:rPr>
      <w:drawing>
        <wp:anchor distT="0" distB="0" distL="114300" distR="114300" simplePos="0" relativeHeight="251662336" behindDoc="0" locked="0" layoutInCell="1" allowOverlap="1">
          <wp:simplePos x="0" y="0"/>
          <wp:positionH relativeFrom="column">
            <wp:posOffset>-135890</wp:posOffset>
          </wp:positionH>
          <wp:positionV relativeFrom="paragraph">
            <wp:posOffset>125730</wp:posOffset>
          </wp:positionV>
          <wp:extent cx="7910195" cy="638810"/>
          <wp:effectExtent l="19050" t="0" r="0" b="0"/>
          <wp:wrapSquare wrapText="bothSides"/>
          <wp:docPr id="7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r="1559" b="12820"/>
                  <a:stretch>
                    <a:fillRect/>
                  </a:stretch>
                </pic:blipFill>
                <pic:spPr bwMode="auto">
                  <a:xfrm>
                    <a:off x="0" y="0"/>
                    <a:ext cx="7910195" cy="638810"/>
                  </a:xfrm>
                  <a:prstGeom prst="rect">
                    <a:avLst/>
                  </a:prstGeom>
                  <a:noFill/>
                  <a:ln w="9525">
                    <a:noFill/>
                    <a:miter lim="800000"/>
                    <a:headEnd/>
                    <a:tailEnd/>
                  </a:ln>
                </pic:spPr>
              </pic:pic>
            </a:graphicData>
          </a:graphic>
        </wp:anchor>
      </w:drawing>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094416"/>
      <w:docPartObj>
        <w:docPartGallery w:val="Page Numbers (Bottom of Page)"/>
        <w:docPartUnique/>
      </w:docPartObj>
    </w:sdtPr>
    <w:sdtContent>
      <w:p w:rsidR="0047634A" w:rsidRDefault="00D20ECC">
        <w:pPr>
          <w:pStyle w:val="Footer"/>
          <w:jc w:val="right"/>
        </w:pPr>
        <w:fldSimple w:instr=" PAGE   \* MERGEFORMAT ">
          <w:r w:rsidR="00F53A7E">
            <w:rPr>
              <w:noProof/>
            </w:rPr>
            <w:t>11</w:t>
          </w:r>
        </w:fldSimple>
      </w:p>
    </w:sdtContent>
  </w:sdt>
  <w:p w:rsidR="0047634A" w:rsidRDefault="004763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BB5" w:rsidRDefault="00804BB5" w:rsidP="005A44EE">
      <w:pPr>
        <w:spacing w:after="0" w:line="240" w:lineRule="auto"/>
      </w:pPr>
      <w:r>
        <w:separator/>
      </w:r>
    </w:p>
  </w:footnote>
  <w:footnote w:type="continuationSeparator" w:id="0">
    <w:p w:rsidR="00804BB5" w:rsidRDefault="00804BB5" w:rsidP="005A44EE">
      <w:pPr>
        <w:spacing w:after="0" w:line="240" w:lineRule="auto"/>
      </w:pPr>
      <w:r>
        <w:continuationSeparator/>
      </w:r>
    </w:p>
  </w:footnote>
  <w:footnote w:id="1">
    <w:p w:rsidR="0047634A" w:rsidRDefault="0047634A">
      <w:pPr>
        <w:pStyle w:val="FootnoteText"/>
      </w:pPr>
      <w:r>
        <w:rPr>
          <w:rStyle w:val="FootnoteReference"/>
        </w:rPr>
        <w:footnoteRef/>
      </w:r>
      <w:r>
        <w:t xml:space="preserve"> </w:t>
      </w:r>
      <w:r w:rsidRPr="009C5FB8">
        <w:rPr>
          <w:rFonts w:cs="Arial"/>
          <w:sz w:val="18"/>
          <w:szCs w:val="18"/>
        </w:rPr>
        <w:t>Hobsons Bay Leader (2014) REIV housing data, 4-2-2014 p5</w:t>
      </w:r>
    </w:p>
  </w:footnote>
  <w:footnote w:id="2">
    <w:p w:rsidR="0047634A" w:rsidRDefault="0047634A">
      <w:pPr>
        <w:pStyle w:val="FootnoteText"/>
      </w:pPr>
      <w:r>
        <w:rPr>
          <w:rStyle w:val="FootnoteReference"/>
        </w:rPr>
        <w:footnoteRef/>
      </w:r>
      <w:r>
        <w:t xml:space="preserve"> REIV </w:t>
      </w:r>
      <w:r w:rsidRPr="00A256AC">
        <w:t>Rental market snapshot - January 2014</w:t>
      </w:r>
    </w:p>
  </w:footnote>
  <w:footnote w:id="3">
    <w:p w:rsidR="0047634A" w:rsidRPr="003D716A" w:rsidRDefault="0047634A" w:rsidP="0097018D">
      <w:pPr>
        <w:pStyle w:val="FootnoteText"/>
      </w:pPr>
      <w:r>
        <w:rPr>
          <w:rStyle w:val="FootnoteReference"/>
        </w:rPr>
        <w:footnoteRef/>
      </w:r>
      <w:r>
        <w:t xml:space="preserve"> City of Whitehorse, </w:t>
      </w:r>
      <w:r>
        <w:rPr>
          <w:i/>
        </w:rPr>
        <w:t xml:space="preserve">Affordable Housing Discussion Paper </w:t>
      </w:r>
      <w:r>
        <w:t>(2009), p.5.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34A" w:rsidRDefault="00D20ECC">
    <w:pPr>
      <w:pStyle w:val="Header"/>
    </w:pPr>
    <w:r>
      <w:rPr>
        <w:noProof/>
        <w:lang w:eastAsia="en-AU"/>
      </w:rPr>
      <w:pict>
        <v:shapetype id="_x0000_t202" coordsize="21600,21600" o:spt="202" path="m,l,21600r21600,l21600,xe">
          <v:stroke joinstyle="miter"/>
          <v:path gradientshapeok="t" o:connecttype="rect"/>
        </v:shapetype>
        <v:shape id="_x0000_s8193" type="#_x0000_t202" style="position:absolute;margin-left:-.75pt;margin-top:0;width:589.5pt;height:232.45pt;z-index:251660288" filled="f" stroked="f">
          <v:textbox style="mso-next-textbox:#_x0000_s8193" inset="0,0,0,0">
            <w:txbxContent>
              <w:p w:rsidR="0047634A" w:rsidRDefault="0047634A" w:rsidP="00703520">
                <w:pPr>
                  <w:ind w:right="-12"/>
                </w:pPr>
                <w:r>
                  <w:rPr>
                    <w:noProof/>
                    <w:lang w:eastAsia="en-AU"/>
                  </w:rPr>
                  <w:drawing>
                    <wp:inline distT="0" distB="0" distL="0" distR="0">
                      <wp:extent cx="7403833" cy="2700000"/>
                      <wp:effectExtent l="19050" t="0" r="6617" b="0"/>
                      <wp:docPr id="1" name="Picture 1" descr="Invitation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vitation header"/>
                              <pic:cNvPicPr>
                                <a:picLocks noChangeAspect="1" noChangeArrowheads="1"/>
                              </pic:cNvPicPr>
                            </pic:nvPicPr>
                            <pic:blipFill>
                              <a:blip r:embed="rId1"/>
                              <a:srcRect/>
                              <a:stretch>
                                <a:fillRect/>
                              </a:stretch>
                            </pic:blipFill>
                            <pic:spPr bwMode="auto">
                              <a:xfrm>
                                <a:off x="0" y="0"/>
                                <a:ext cx="7403833" cy="2700000"/>
                              </a:xfrm>
                              <a:prstGeom prst="rect">
                                <a:avLst/>
                              </a:prstGeom>
                              <a:noFill/>
                              <a:ln w="9525">
                                <a:noFill/>
                                <a:miter lim="800000"/>
                                <a:headEnd/>
                                <a:tailEnd/>
                              </a:ln>
                            </pic:spPr>
                          </pic:pic>
                        </a:graphicData>
                      </a:graphic>
                    </wp:inline>
                  </w:drawing>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34A" w:rsidRDefault="0047634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34A" w:rsidRDefault="0047634A">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34A" w:rsidRDefault="004763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11FE2"/>
    <w:multiLevelType w:val="hybridMultilevel"/>
    <w:tmpl w:val="2BD26D22"/>
    <w:lvl w:ilvl="0" w:tplc="0C090001">
      <w:start w:val="1"/>
      <w:numFmt w:val="bullet"/>
      <w:lvlText w:val=""/>
      <w:lvlJc w:val="left"/>
      <w:pPr>
        <w:ind w:left="720" w:hanging="360"/>
      </w:pPr>
      <w:rPr>
        <w:rFonts w:ascii="Symbol" w:hAnsi="Symbol" w:hint="default"/>
      </w:rPr>
    </w:lvl>
    <w:lvl w:ilvl="1" w:tplc="0C09001B">
      <w:start w:val="1"/>
      <w:numFmt w:val="lowerRoman"/>
      <w:lvlText w:val="%2."/>
      <w:lvlJc w:val="righ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7D46619"/>
    <w:multiLevelType w:val="hybridMultilevel"/>
    <w:tmpl w:val="36FCC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5154326"/>
    <w:multiLevelType w:val="multilevel"/>
    <w:tmpl w:val="D8942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left"/>
      <w:pPr>
        <w:ind w:left="2520" w:hanging="72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163F63"/>
    <w:multiLevelType w:val="hybridMultilevel"/>
    <w:tmpl w:val="AD7A90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01F1403"/>
    <w:multiLevelType w:val="hybridMultilevel"/>
    <w:tmpl w:val="F6F6CC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E08483B"/>
    <w:multiLevelType w:val="hybridMultilevel"/>
    <w:tmpl w:val="4AE6E9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19D40F7"/>
    <w:multiLevelType w:val="hybridMultilevel"/>
    <w:tmpl w:val="1728C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8A44929"/>
    <w:multiLevelType w:val="multilevel"/>
    <w:tmpl w:val="0B5C4638"/>
    <w:lvl w:ilvl="0">
      <w:start w:val="1"/>
      <w:numFmt w:val="bullet"/>
      <w:pStyle w:val="Style6"/>
      <w:lvlText w:val=""/>
      <w:lvlJc w:val="left"/>
      <w:pPr>
        <w:tabs>
          <w:tab w:val="num" w:pos="567"/>
        </w:tabs>
        <w:ind w:left="567" w:hanging="567"/>
      </w:pPr>
      <w:rPr>
        <w:rFonts w:ascii="Symbol" w:hAnsi="Symbol" w:hint="default"/>
        <w:b w:val="0"/>
        <w:i w:val="0"/>
        <w:sz w:val="22"/>
      </w:rPr>
    </w:lvl>
    <w:lvl w:ilvl="1">
      <w:start w:val="1"/>
      <w:numFmt w:val="bullet"/>
      <w:lvlText w:val=""/>
      <w:lvlJc w:val="left"/>
      <w:pPr>
        <w:tabs>
          <w:tab w:val="num" w:pos="1134"/>
        </w:tabs>
        <w:ind w:left="1134" w:hanging="567"/>
      </w:pPr>
      <w:rPr>
        <w:rFonts w:ascii="Wingdings" w:hAnsi="Wingdings" w:hint="default"/>
        <w:b w:val="0"/>
        <w:i w:val="0"/>
        <w:sz w:val="22"/>
      </w:rPr>
    </w:lvl>
    <w:lvl w:ilvl="2">
      <w:start w:val="1"/>
      <w:numFmt w:val="bullet"/>
      <w:lvlText w:val=""/>
      <w:lvlJc w:val="left"/>
      <w:pPr>
        <w:tabs>
          <w:tab w:val="num" w:pos="1701"/>
        </w:tabs>
        <w:ind w:left="1701" w:hanging="567"/>
      </w:pPr>
      <w:rPr>
        <w:rFonts w:ascii="Symbol" w:hAnsi="Symbol" w:hint="default"/>
        <w:b w:val="0"/>
        <w:i w:val="0"/>
        <w:sz w:val="22"/>
      </w:rPr>
    </w:lvl>
    <w:lvl w:ilvl="3">
      <w:start w:val="1"/>
      <w:numFmt w:val="none"/>
      <w:lvlText w:val=""/>
      <w:lvlJc w:val="left"/>
      <w:pPr>
        <w:tabs>
          <w:tab w:val="num" w:pos="567"/>
        </w:tabs>
        <w:ind w:left="567" w:hanging="567"/>
      </w:pPr>
      <w:rPr>
        <w:rFonts w:ascii="Arial" w:hAnsi="Arial" w:hint="default"/>
        <w:b w:val="0"/>
        <w:i w:val="0"/>
        <w:sz w:val="22"/>
      </w:rPr>
    </w:lvl>
    <w:lvl w:ilvl="4">
      <w:start w:val="1"/>
      <w:numFmt w:val="none"/>
      <w:lvlText w:val=""/>
      <w:lvlJc w:val="left"/>
      <w:pPr>
        <w:tabs>
          <w:tab w:val="num" w:pos="567"/>
        </w:tabs>
        <w:ind w:left="567" w:hanging="567"/>
      </w:pPr>
      <w:rPr>
        <w:rFonts w:ascii="Arial" w:hAnsi="Arial" w:hint="default"/>
        <w:b w:val="0"/>
        <w:i w:val="0"/>
        <w:sz w:val="22"/>
      </w:rPr>
    </w:lvl>
    <w:lvl w:ilvl="5">
      <w:start w:val="1"/>
      <w:numFmt w:val="none"/>
      <w:lvlText w:val=""/>
      <w:lvlJc w:val="left"/>
      <w:pPr>
        <w:tabs>
          <w:tab w:val="num" w:pos="567"/>
        </w:tabs>
        <w:ind w:left="567" w:hanging="567"/>
      </w:pPr>
      <w:rPr>
        <w:rFonts w:ascii="Arial" w:hAnsi="Arial" w:hint="default"/>
        <w:b w:val="0"/>
        <w:i w:val="0"/>
        <w:sz w:val="22"/>
      </w:rPr>
    </w:lvl>
    <w:lvl w:ilvl="6">
      <w:start w:val="1"/>
      <w:numFmt w:val="none"/>
      <w:lvlText w:val=""/>
      <w:lvlJc w:val="left"/>
      <w:pPr>
        <w:tabs>
          <w:tab w:val="num" w:pos="567"/>
        </w:tabs>
        <w:ind w:left="567" w:hanging="567"/>
      </w:pPr>
      <w:rPr>
        <w:rFonts w:ascii="Arial" w:hAnsi="Arial" w:hint="default"/>
        <w:b w:val="0"/>
        <w:i w:val="0"/>
        <w:sz w:val="22"/>
      </w:rPr>
    </w:lvl>
    <w:lvl w:ilvl="7">
      <w:start w:val="1"/>
      <w:numFmt w:val="none"/>
      <w:lvlText w:val="%8%1"/>
      <w:lvlJc w:val="left"/>
      <w:pPr>
        <w:tabs>
          <w:tab w:val="num" w:pos="567"/>
        </w:tabs>
        <w:ind w:left="567" w:hanging="567"/>
      </w:pPr>
      <w:rPr>
        <w:rFonts w:ascii="Arial" w:hAnsi="Arial" w:hint="default"/>
        <w:b w:val="0"/>
        <w:i w:val="0"/>
        <w:sz w:val="22"/>
      </w:rPr>
    </w:lvl>
    <w:lvl w:ilvl="8">
      <w:start w:val="1"/>
      <w:numFmt w:val="none"/>
      <w:lvlText w:val=""/>
      <w:lvlJc w:val="left"/>
      <w:pPr>
        <w:tabs>
          <w:tab w:val="num" w:pos="567"/>
        </w:tabs>
        <w:ind w:left="567" w:hanging="567"/>
      </w:pPr>
      <w:rPr>
        <w:rFonts w:ascii="Arial" w:hAnsi="Arial" w:hint="default"/>
        <w:b w:val="0"/>
        <w:i w:val="0"/>
        <w:sz w:val="22"/>
      </w:rPr>
    </w:lvl>
  </w:abstractNum>
  <w:abstractNum w:abstractNumId="8">
    <w:nsid w:val="6FF72727"/>
    <w:multiLevelType w:val="hybridMultilevel"/>
    <w:tmpl w:val="9990A21E"/>
    <w:lvl w:ilvl="0" w:tplc="0C090001">
      <w:start w:val="1"/>
      <w:numFmt w:val="bullet"/>
      <w:lvlText w:val=""/>
      <w:lvlJc w:val="left"/>
      <w:pPr>
        <w:ind w:left="720" w:hanging="360"/>
      </w:pPr>
      <w:rPr>
        <w:rFonts w:ascii="Symbol" w:hAnsi="Symbol" w:hint="default"/>
      </w:rPr>
    </w:lvl>
    <w:lvl w:ilvl="1" w:tplc="0C09001B">
      <w:start w:val="1"/>
      <w:numFmt w:val="lowerRoman"/>
      <w:lvlText w:val="%2."/>
      <w:lvlJc w:val="righ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9F90959"/>
    <w:multiLevelType w:val="hybridMultilevel"/>
    <w:tmpl w:val="646C24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2"/>
  </w:num>
  <w:num w:numId="5">
    <w:abstractNumId w:val="9"/>
  </w:num>
  <w:num w:numId="6">
    <w:abstractNumId w:val="0"/>
  </w:num>
  <w:num w:numId="7">
    <w:abstractNumId w:val="8"/>
  </w:num>
  <w:num w:numId="8">
    <w:abstractNumId w:val="6"/>
  </w:num>
  <w:num w:numId="9">
    <w:abstractNumId w:val="3"/>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9938"/>
    <o:shapelayout v:ext="edit">
      <o:idmap v:ext="edit" data="8"/>
    </o:shapelayout>
  </w:hdrShapeDefaults>
  <w:footnotePr>
    <w:footnote w:id="-1"/>
    <w:footnote w:id="0"/>
  </w:footnotePr>
  <w:endnotePr>
    <w:endnote w:id="-1"/>
    <w:endnote w:id="0"/>
  </w:endnotePr>
  <w:compat/>
  <w:rsids>
    <w:rsidRoot w:val="005A44EE"/>
    <w:rsid w:val="00034CC3"/>
    <w:rsid w:val="000406F4"/>
    <w:rsid w:val="00042FA1"/>
    <w:rsid w:val="00073C4E"/>
    <w:rsid w:val="00080BE7"/>
    <w:rsid w:val="0008587E"/>
    <w:rsid w:val="000B0FEE"/>
    <w:rsid w:val="000B3B23"/>
    <w:rsid w:val="000E2A4C"/>
    <w:rsid w:val="000E3EE4"/>
    <w:rsid w:val="000F6BC6"/>
    <w:rsid w:val="000F7776"/>
    <w:rsid w:val="001330BF"/>
    <w:rsid w:val="00171C74"/>
    <w:rsid w:val="001773FB"/>
    <w:rsid w:val="00195FAC"/>
    <w:rsid w:val="001A59C8"/>
    <w:rsid w:val="001B6C6E"/>
    <w:rsid w:val="001C5F41"/>
    <w:rsid w:val="001D565C"/>
    <w:rsid w:val="001E47EC"/>
    <w:rsid w:val="001E6A81"/>
    <w:rsid w:val="0020540E"/>
    <w:rsid w:val="00210255"/>
    <w:rsid w:val="00211D01"/>
    <w:rsid w:val="00214F87"/>
    <w:rsid w:val="00225863"/>
    <w:rsid w:val="002441F3"/>
    <w:rsid w:val="002628D4"/>
    <w:rsid w:val="00265F61"/>
    <w:rsid w:val="0029312A"/>
    <w:rsid w:val="002A66D6"/>
    <w:rsid w:val="002B5B43"/>
    <w:rsid w:val="002C2B4A"/>
    <w:rsid w:val="002C666A"/>
    <w:rsid w:val="002E1DCD"/>
    <w:rsid w:val="002E21B8"/>
    <w:rsid w:val="002E3B9A"/>
    <w:rsid w:val="002E6B2F"/>
    <w:rsid w:val="003210F7"/>
    <w:rsid w:val="00343645"/>
    <w:rsid w:val="003647FE"/>
    <w:rsid w:val="00390E9E"/>
    <w:rsid w:val="003B1D8A"/>
    <w:rsid w:val="003B53BA"/>
    <w:rsid w:val="003B6385"/>
    <w:rsid w:val="003C7E37"/>
    <w:rsid w:val="003D5FD6"/>
    <w:rsid w:val="003E6946"/>
    <w:rsid w:val="003F0A53"/>
    <w:rsid w:val="003F3452"/>
    <w:rsid w:val="00411B23"/>
    <w:rsid w:val="0044427B"/>
    <w:rsid w:val="0044492B"/>
    <w:rsid w:val="00446ABF"/>
    <w:rsid w:val="00457FBB"/>
    <w:rsid w:val="004758C2"/>
    <w:rsid w:val="0047634A"/>
    <w:rsid w:val="004C36AC"/>
    <w:rsid w:val="004C57AC"/>
    <w:rsid w:val="004D17D4"/>
    <w:rsid w:val="004F72A7"/>
    <w:rsid w:val="005013CC"/>
    <w:rsid w:val="00510B8F"/>
    <w:rsid w:val="00532F25"/>
    <w:rsid w:val="005434E5"/>
    <w:rsid w:val="005543E5"/>
    <w:rsid w:val="005672A3"/>
    <w:rsid w:val="005750FB"/>
    <w:rsid w:val="00596CA2"/>
    <w:rsid w:val="005A1956"/>
    <w:rsid w:val="005A44EE"/>
    <w:rsid w:val="005A6E24"/>
    <w:rsid w:val="005B60DA"/>
    <w:rsid w:val="005C2DFB"/>
    <w:rsid w:val="005D3203"/>
    <w:rsid w:val="005F36DB"/>
    <w:rsid w:val="005F4F46"/>
    <w:rsid w:val="00601980"/>
    <w:rsid w:val="00626B8B"/>
    <w:rsid w:val="00631A11"/>
    <w:rsid w:val="00632C03"/>
    <w:rsid w:val="00641DA1"/>
    <w:rsid w:val="00645570"/>
    <w:rsid w:val="00664266"/>
    <w:rsid w:val="00665817"/>
    <w:rsid w:val="006775EE"/>
    <w:rsid w:val="00691B58"/>
    <w:rsid w:val="006C4107"/>
    <w:rsid w:val="00703520"/>
    <w:rsid w:val="00710368"/>
    <w:rsid w:val="0071430D"/>
    <w:rsid w:val="00724BE9"/>
    <w:rsid w:val="007252F9"/>
    <w:rsid w:val="00745853"/>
    <w:rsid w:val="00747486"/>
    <w:rsid w:val="00754594"/>
    <w:rsid w:val="00780EAF"/>
    <w:rsid w:val="007B56E6"/>
    <w:rsid w:val="007C0062"/>
    <w:rsid w:val="007D264C"/>
    <w:rsid w:val="007E2D52"/>
    <w:rsid w:val="007E4B8F"/>
    <w:rsid w:val="007F23FD"/>
    <w:rsid w:val="00803212"/>
    <w:rsid w:val="00804BB5"/>
    <w:rsid w:val="008070B5"/>
    <w:rsid w:val="00810305"/>
    <w:rsid w:val="00827C67"/>
    <w:rsid w:val="00850DB0"/>
    <w:rsid w:val="0085455D"/>
    <w:rsid w:val="0086369D"/>
    <w:rsid w:val="00875098"/>
    <w:rsid w:val="0088082F"/>
    <w:rsid w:val="00894BE6"/>
    <w:rsid w:val="008950A6"/>
    <w:rsid w:val="008A30A3"/>
    <w:rsid w:val="008D0D77"/>
    <w:rsid w:val="008D377F"/>
    <w:rsid w:val="008D497C"/>
    <w:rsid w:val="008D7BFC"/>
    <w:rsid w:val="00907D0F"/>
    <w:rsid w:val="00912D46"/>
    <w:rsid w:val="00922EB3"/>
    <w:rsid w:val="009351A2"/>
    <w:rsid w:val="0097018D"/>
    <w:rsid w:val="00973D3E"/>
    <w:rsid w:val="00996632"/>
    <w:rsid w:val="00997D54"/>
    <w:rsid w:val="009A27E9"/>
    <w:rsid w:val="009A5210"/>
    <w:rsid w:val="009A7C7F"/>
    <w:rsid w:val="009C27C8"/>
    <w:rsid w:val="009C5FB8"/>
    <w:rsid w:val="009C6600"/>
    <w:rsid w:val="009D6EBB"/>
    <w:rsid w:val="009D7776"/>
    <w:rsid w:val="00A256AC"/>
    <w:rsid w:val="00A31D01"/>
    <w:rsid w:val="00A538EA"/>
    <w:rsid w:val="00A53F0E"/>
    <w:rsid w:val="00A56A05"/>
    <w:rsid w:val="00A60133"/>
    <w:rsid w:val="00A773E4"/>
    <w:rsid w:val="00A802C9"/>
    <w:rsid w:val="00A91C48"/>
    <w:rsid w:val="00AA509C"/>
    <w:rsid w:val="00AC65DA"/>
    <w:rsid w:val="00B22C2F"/>
    <w:rsid w:val="00B26299"/>
    <w:rsid w:val="00B30B9A"/>
    <w:rsid w:val="00B749C6"/>
    <w:rsid w:val="00B83B84"/>
    <w:rsid w:val="00B90058"/>
    <w:rsid w:val="00BA3404"/>
    <w:rsid w:val="00BA590E"/>
    <w:rsid w:val="00BA6883"/>
    <w:rsid w:val="00BD1C47"/>
    <w:rsid w:val="00BF181F"/>
    <w:rsid w:val="00BF7A69"/>
    <w:rsid w:val="00C01747"/>
    <w:rsid w:val="00C12D2C"/>
    <w:rsid w:val="00C3543D"/>
    <w:rsid w:val="00C570DE"/>
    <w:rsid w:val="00C63FD4"/>
    <w:rsid w:val="00C8445D"/>
    <w:rsid w:val="00C86808"/>
    <w:rsid w:val="00C906A9"/>
    <w:rsid w:val="00C94627"/>
    <w:rsid w:val="00C94D86"/>
    <w:rsid w:val="00CA2C95"/>
    <w:rsid w:val="00CB07B8"/>
    <w:rsid w:val="00CF6B06"/>
    <w:rsid w:val="00D05203"/>
    <w:rsid w:val="00D20ECC"/>
    <w:rsid w:val="00D2460F"/>
    <w:rsid w:val="00D442CB"/>
    <w:rsid w:val="00D474E0"/>
    <w:rsid w:val="00D50468"/>
    <w:rsid w:val="00D55558"/>
    <w:rsid w:val="00D615B3"/>
    <w:rsid w:val="00D70ACA"/>
    <w:rsid w:val="00D80137"/>
    <w:rsid w:val="00DA3139"/>
    <w:rsid w:val="00DB1F1D"/>
    <w:rsid w:val="00DC5D96"/>
    <w:rsid w:val="00DD09A2"/>
    <w:rsid w:val="00DD1F09"/>
    <w:rsid w:val="00DD400E"/>
    <w:rsid w:val="00DE0834"/>
    <w:rsid w:val="00DE5263"/>
    <w:rsid w:val="00DF5AD4"/>
    <w:rsid w:val="00E13C52"/>
    <w:rsid w:val="00E2265B"/>
    <w:rsid w:val="00E246D9"/>
    <w:rsid w:val="00E24BFB"/>
    <w:rsid w:val="00E30F75"/>
    <w:rsid w:val="00E33301"/>
    <w:rsid w:val="00E46912"/>
    <w:rsid w:val="00E60A46"/>
    <w:rsid w:val="00E75F57"/>
    <w:rsid w:val="00E85A08"/>
    <w:rsid w:val="00EE644F"/>
    <w:rsid w:val="00F144C1"/>
    <w:rsid w:val="00F16EB8"/>
    <w:rsid w:val="00F300B3"/>
    <w:rsid w:val="00F35023"/>
    <w:rsid w:val="00F4430D"/>
    <w:rsid w:val="00F53A7E"/>
    <w:rsid w:val="00F77D0A"/>
    <w:rsid w:val="00F8462A"/>
    <w:rsid w:val="00FA6338"/>
    <w:rsid w:val="00FD2479"/>
    <w:rsid w:val="00FE1E8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4EE"/>
    <w:rPr>
      <w:lang w:val="en-AU"/>
    </w:rPr>
  </w:style>
  <w:style w:type="paragraph" w:styleId="Heading1">
    <w:name w:val="heading 1"/>
    <w:basedOn w:val="Normal"/>
    <w:next w:val="Normal"/>
    <w:link w:val="Heading1Char"/>
    <w:uiPriority w:val="9"/>
    <w:qFormat/>
    <w:rsid w:val="00C946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nhideWhenUsed/>
    <w:qFormat/>
    <w:rsid w:val="001C5F41"/>
    <w:pPr>
      <w:keepNext/>
      <w:spacing w:after="0"/>
      <w:jc w:val="both"/>
      <w:outlineLvl w:val="3"/>
    </w:pPr>
    <w:rPr>
      <w:rFonts w:ascii="Arial" w:eastAsia="Times New Roman" w:hAnsi="Arial" w:cs="Times New Roman"/>
      <w:b/>
      <w:bCs/>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6">
    <w:name w:val="Style6"/>
    <w:rsid w:val="005A44EE"/>
    <w:pPr>
      <w:numPr>
        <w:numId w:val="1"/>
      </w:numPr>
      <w:spacing w:before="120" w:after="120" w:line="240" w:lineRule="auto"/>
    </w:pPr>
    <w:rPr>
      <w:rFonts w:ascii="Arial" w:eastAsia="Times New Roman" w:hAnsi="Arial" w:cs="Times New Roman"/>
      <w:szCs w:val="20"/>
      <w:lang w:val="en-AU"/>
    </w:rPr>
  </w:style>
  <w:style w:type="paragraph" w:styleId="FootnoteText">
    <w:name w:val="footnote text"/>
    <w:basedOn w:val="Normal"/>
    <w:link w:val="FootnoteTextChar"/>
    <w:uiPriority w:val="99"/>
    <w:unhideWhenUsed/>
    <w:rsid w:val="005A44EE"/>
    <w:pPr>
      <w:spacing w:after="0" w:line="240" w:lineRule="auto"/>
    </w:pPr>
    <w:rPr>
      <w:sz w:val="20"/>
      <w:szCs w:val="20"/>
    </w:rPr>
  </w:style>
  <w:style w:type="character" w:customStyle="1" w:styleId="FootnoteTextChar">
    <w:name w:val="Footnote Text Char"/>
    <w:basedOn w:val="DefaultParagraphFont"/>
    <w:link w:val="FootnoteText"/>
    <w:uiPriority w:val="99"/>
    <w:rsid w:val="005A44EE"/>
    <w:rPr>
      <w:sz w:val="20"/>
      <w:szCs w:val="20"/>
      <w:lang w:val="en-AU"/>
    </w:rPr>
  </w:style>
  <w:style w:type="character" w:styleId="FootnoteReference">
    <w:name w:val="footnote reference"/>
    <w:basedOn w:val="DefaultParagraphFont"/>
    <w:uiPriority w:val="99"/>
    <w:unhideWhenUsed/>
    <w:rsid w:val="005A44EE"/>
    <w:rPr>
      <w:vertAlign w:val="superscript"/>
    </w:rPr>
  </w:style>
  <w:style w:type="paragraph" w:styleId="ListParagraph">
    <w:name w:val="List Paragraph"/>
    <w:basedOn w:val="Normal"/>
    <w:uiPriority w:val="34"/>
    <w:qFormat/>
    <w:rsid w:val="00FD2479"/>
    <w:pPr>
      <w:ind w:left="720"/>
      <w:contextualSpacing/>
    </w:pPr>
  </w:style>
  <w:style w:type="character" w:customStyle="1" w:styleId="Heading4Char">
    <w:name w:val="Heading 4 Char"/>
    <w:basedOn w:val="DefaultParagraphFont"/>
    <w:link w:val="Heading4"/>
    <w:rsid w:val="001C5F41"/>
    <w:rPr>
      <w:rFonts w:ascii="Arial" w:eastAsia="Times New Roman" w:hAnsi="Arial" w:cs="Times New Roman"/>
      <w:b/>
      <w:bCs/>
      <w:szCs w:val="28"/>
    </w:rPr>
  </w:style>
  <w:style w:type="paragraph" w:customStyle="1" w:styleId="ABodynospace">
    <w:name w:val="A Body no space"/>
    <w:basedOn w:val="Normal"/>
    <w:qFormat/>
    <w:rsid w:val="001330BF"/>
    <w:pPr>
      <w:spacing w:after="0" w:line="280" w:lineRule="atLeast"/>
    </w:pPr>
    <w:rPr>
      <w:rFonts w:ascii="Calibri" w:eastAsia="Times New Roman" w:hAnsi="Calibri" w:cs="Times New Roman"/>
      <w:lang w:eastAsia="en-AU"/>
    </w:rPr>
  </w:style>
  <w:style w:type="character" w:customStyle="1" w:styleId="ATextfield">
    <w:name w:val="A Text field"/>
    <w:qFormat/>
    <w:rsid w:val="001330BF"/>
    <w:rPr>
      <w:rFonts w:ascii="Calibri" w:hAnsi="Calibri"/>
      <w:color w:val="004182"/>
      <w:sz w:val="22"/>
    </w:rPr>
  </w:style>
  <w:style w:type="paragraph" w:styleId="BalloonText">
    <w:name w:val="Balloon Text"/>
    <w:basedOn w:val="Normal"/>
    <w:link w:val="BalloonTextChar"/>
    <w:uiPriority w:val="99"/>
    <w:semiHidden/>
    <w:unhideWhenUsed/>
    <w:rsid w:val="00807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0B5"/>
    <w:rPr>
      <w:rFonts w:ascii="Tahoma" w:hAnsi="Tahoma" w:cs="Tahoma"/>
      <w:sz w:val="16"/>
      <w:szCs w:val="16"/>
      <w:lang w:val="en-AU"/>
    </w:rPr>
  </w:style>
  <w:style w:type="paragraph" w:styleId="Header">
    <w:name w:val="header"/>
    <w:basedOn w:val="Normal"/>
    <w:link w:val="HeaderChar"/>
    <w:uiPriority w:val="99"/>
    <w:unhideWhenUsed/>
    <w:rsid w:val="00A802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02C9"/>
    <w:rPr>
      <w:lang w:val="en-AU"/>
    </w:rPr>
  </w:style>
  <w:style w:type="paragraph" w:styleId="Footer">
    <w:name w:val="footer"/>
    <w:basedOn w:val="Normal"/>
    <w:link w:val="FooterChar"/>
    <w:uiPriority w:val="99"/>
    <w:unhideWhenUsed/>
    <w:rsid w:val="00A802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02C9"/>
    <w:rPr>
      <w:lang w:val="en-AU"/>
    </w:rPr>
  </w:style>
  <w:style w:type="character" w:customStyle="1" w:styleId="Heading1Char">
    <w:name w:val="Heading 1 Char"/>
    <w:basedOn w:val="DefaultParagraphFont"/>
    <w:link w:val="Heading1"/>
    <w:uiPriority w:val="9"/>
    <w:rsid w:val="00C94627"/>
    <w:rPr>
      <w:rFonts w:asciiTheme="majorHAnsi" w:eastAsiaTheme="majorEastAsia" w:hAnsiTheme="majorHAnsi" w:cstheme="majorBidi"/>
      <w:b/>
      <w:bCs/>
      <w:color w:val="365F91" w:themeColor="accent1" w:themeShade="BF"/>
      <w:sz w:val="28"/>
      <w:szCs w:val="28"/>
      <w:lang w:val="en-AU"/>
    </w:rPr>
  </w:style>
  <w:style w:type="paragraph" w:customStyle="1" w:styleId="HeadingA">
    <w:name w:val="HeadingA"/>
    <w:basedOn w:val="Normal"/>
    <w:qFormat/>
    <w:rsid w:val="00C94627"/>
    <w:pPr>
      <w:spacing w:after="0" w:line="240" w:lineRule="auto"/>
    </w:pPr>
    <w:rPr>
      <w:rFonts w:ascii="Arial" w:eastAsia="Times New Roman" w:hAnsi="Arial" w:cs="Arial"/>
      <w:b/>
      <w:color w:val="76923C"/>
      <w:sz w:val="28"/>
      <w:szCs w:val="52"/>
    </w:rPr>
  </w:style>
  <w:style w:type="paragraph" w:styleId="Title">
    <w:name w:val="Title"/>
    <w:basedOn w:val="Normal"/>
    <w:next w:val="Normal"/>
    <w:link w:val="TitleChar"/>
    <w:qFormat/>
    <w:rsid w:val="00C94627"/>
    <w:pPr>
      <w:pBdr>
        <w:bottom w:val="single" w:sz="8" w:space="4" w:color="4F81BD" w:themeColor="accent1"/>
      </w:pBdr>
      <w:spacing w:after="300" w:line="240" w:lineRule="auto"/>
      <w:contextualSpacing/>
    </w:pPr>
    <w:rPr>
      <w:rFonts w:ascii="Arial" w:eastAsiaTheme="majorEastAsia" w:hAnsi="Arial" w:cstheme="majorBidi"/>
      <w:b/>
      <w:color w:val="17365D" w:themeColor="text2" w:themeShade="BF"/>
      <w:spacing w:val="5"/>
      <w:kern w:val="28"/>
      <w:sz w:val="52"/>
      <w:szCs w:val="52"/>
      <w:lang w:val="en-US"/>
    </w:rPr>
  </w:style>
  <w:style w:type="character" w:customStyle="1" w:styleId="TitleChar">
    <w:name w:val="Title Char"/>
    <w:basedOn w:val="DefaultParagraphFont"/>
    <w:link w:val="Title"/>
    <w:rsid w:val="00C94627"/>
    <w:rPr>
      <w:rFonts w:ascii="Arial" w:eastAsiaTheme="majorEastAsia" w:hAnsi="Arial" w:cstheme="majorBidi"/>
      <w:b/>
      <w:color w:val="17365D" w:themeColor="text2" w:themeShade="BF"/>
      <w:spacing w:val="5"/>
      <w:kern w:val="28"/>
      <w:sz w:val="52"/>
      <w:szCs w:val="52"/>
    </w:rPr>
  </w:style>
  <w:style w:type="character" w:styleId="BookTitle">
    <w:name w:val="Book Title"/>
    <w:basedOn w:val="DefaultParagraphFont"/>
    <w:uiPriority w:val="33"/>
    <w:qFormat/>
    <w:rsid w:val="00C94627"/>
    <w:rPr>
      <w:b/>
      <w:bCs/>
      <w:smallCaps/>
      <w:spacing w:val="5"/>
    </w:rPr>
  </w:style>
  <w:style w:type="character" w:styleId="CommentReference">
    <w:name w:val="annotation reference"/>
    <w:basedOn w:val="DefaultParagraphFont"/>
    <w:uiPriority w:val="99"/>
    <w:semiHidden/>
    <w:unhideWhenUsed/>
    <w:rsid w:val="00631A11"/>
    <w:rPr>
      <w:sz w:val="16"/>
      <w:szCs w:val="16"/>
    </w:rPr>
  </w:style>
  <w:style w:type="paragraph" w:styleId="CommentText">
    <w:name w:val="annotation text"/>
    <w:basedOn w:val="Normal"/>
    <w:link w:val="CommentTextChar"/>
    <w:uiPriority w:val="99"/>
    <w:semiHidden/>
    <w:unhideWhenUsed/>
    <w:rsid w:val="00631A11"/>
    <w:pPr>
      <w:spacing w:line="240" w:lineRule="auto"/>
    </w:pPr>
    <w:rPr>
      <w:sz w:val="20"/>
      <w:szCs w:val="20"/>
    </w:rPr>
  </w:style>
  <w:style w:type="character" w:customStyle="1" w:styleId="CommentTextChar">
    <w:name w:val="Comment Text Char"/>
    <w:basedOn w:val="DefaultParagraphFont"/>
    <w:link w:val="CommentText"/>
    <w:uiPriority w:val="99"/>
    <w:semiHidden/>
    <w:rsid w:val="00631A11"/>
    <w:rPr>
      <w:sz w:val="20"/>
      <w:szCs w:val="20"/>
      <w:lang w:val="en-AU"/>
    </w:rPr>
  </w:style>
  <w:style w:type="paragraph" w:styleId="CommentSubject">
    <w:name w:val="annotation subject"/>
    <w:basedOn w:val="CommentText"/>
    <w:next w:val="CommentText"/>
    <w:link w:val="CommentSubjectChar"/>
    <w:uiPriority w:val="99"/>
    <w:semiHidden/>
    <w:unhideWhenUsed/>
    <w:rsid w:val="00631A11"/>
    <w:rPr>
      <w:b/>
      <w:bCs/>
    </w:rPr>
  </w:style>
  <w:style w:type="character" w:customStyle="1" w:styleId="CommentSubjectChar">
    <w:name w:val="Comment Subject Char"/>
    <w:basedOn w:val="CommentTextChar"/>
    <w:link w:val="CommentSubject"/>
    <w:uiPriority w:val="99"/>
    <w:semiHidden/>
    <w:rsid w:val="00631A11"/>
    <w:rPr>
      <w:b/>
      <w:bCs/>
    </w:rPr>
  </w:style>
</w:styles>
</file>

<file path=word/webSettings.xml><?xml version="1.0" encoding="utf-8"?>
<w:webSettings xmlns:r="http://schemas.openxmlformats.org/officeDocument/2006/relationships" xmlns:w="http://schemas.openxmlformats.org/wordprocessingml/2006/main">
  <w:divs>
    <w:div w:id="204025726">
      <w:bodyDiv w:val="1"/>
      <w:marLeft w:val="0"/>
      <w:marRight w:val="0"/>
      <w:marTop w:val="0"/>
      <w:marBottom w:val="0"/>
      <w:divBdr>
        <w:top w:val="none" w:sz="0" w:space="0" w:color="auto"/>
        <w:left w:val="none" w:sz="0" w:space="0" w:color="auto"/>
        <w:bottom w:val="none" w:sz="0" w:space="0" w:color="auto"/>
        <w:right w:val="none" w:sz="0" w:space="0" w:color="auto"/>
      </w:divBdr>
    </w:div>
    <w:div w:id="202867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dchadwic\dchadwic\vault-8008\Objects\Affordable%20housing%20graph%20(A145354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AU"/>
  <c:chart>
    <c:title>
      <c:tx>
        <c:rich>
          <a:bodyPr/>
          <a:lstStyle/>
          <a:p>
            <a:pPr>
              <a:defRPr sz="900" b="1" i="0" u="none" strike="noStrike" baseline="0">
                <a:solidFill>
                  <a:srgbClr val="000000"/>
                </a:solidFill>
                <a:latin typeface="Arial"/>
                <a:ea typeface="Arial"/>
                <a:cs typeface="Arial"/>
              </a:defRPr>
            </a:pPr>
            <a:r>
              <a:rPr lang="en-AU" sz="900"/>
              <a:t>Percentage of Affordable Rentals in Hobsons Bay (4th Quarter)</a:t>
            </a:r>
          </a:p>
        </c:rich>
      </c:tx>
      <c:layout>
        <c:manualLayout>
          <c:xMode val="edge"/>
          <c:yMode val="edge"/>
          <c:x val="0.20980166184810653"/>
          <c:y val="8.7431776507388481E-2"/>
        </c:manualLayout>
      </c:layout>
      <c:overlay val="1"/>
      <c:spPr>
        <a:noFill/>
        <a:ln w="25400">
          <a:noFill/>
        </a:ln>
      </c:spPr>
    </c:title>
    <c:plotArea>
      <c:layout>
        <c:manualLayout>
          <c:layoutTarget val="inner"/>
          <c:xMode val="edge"/>
          <c:yMode val="edge"/>
          <c:x val="0.12420132777520571"/>
          <c:y val="0.17475810204575493"/>
          <c:w val="0.81723695885531555"/>
          <c:h val="0.58893058580442859"/>
        </c:manualLayout>
      </c:layout>
      <c:lineChart>
        <c:grouping val="standard"/>
        <c:ser>
          <c:idx val="0"/>
          <c:order val="0"/>
          <c:tx>
            <c:strRef>
              <c:f>Sheet1!$A$10</c:f>
              <c:strCache>
                <c:ptCount val="1"/>
                <c:pt idx="0">
                  <c:v>Hobsons Bay</c:v>
                </c:pt>
              </c:strCache>
            </c:strRef>
          </c:tx>
          <c:spPr>
            <a:ln w="25400">
              <a:solidFill>
                <a:srgbClr val="A20000"/>
              </a:solidFill>
              <a:prstDash val="solid"/>
            </a:ln>
          </c:spPr>
          <c:marker>
            <c:symbol val="none"/>
          </c:marker>
          <c:cat>
            <c:numRef>
              <c:f>Sheet1!$C$9:$N$9</c:f>
              <c:numCache>
                <c:formatCode>General</c:formatCode>
                <c:ptCount val="12"/>
                <c:pt idx="0">
                  <c:v>2001</c:v>
                </c:pt>
                <c:pt idx="1">
                  <c:v>2002</c:v>
                </c:pt>
                <c:pt idx="2">
                  <c:v>2003</c:v>
                </c:pt>
                <c:pt idx="3">
                  <c:v>2004</c:v>
                </c:pt>
                <c:pt idx="4">
                  <c:v>2005</c:v>
                </c:pt>
                <c:pt idx="5">
                  <c:v>2006</c:v>
                </c:pt>
                <c:pt idx="6">
                  <c:v>2007</c:v>
                </c:pt>
                <c:pt idx="7">
                  <c:v>2008</c:v>
                </c:pt>
                <c:pt idx="8">
                  <c:v>2009</c:v>
                </c:pt>
                <c:pt idx="9">
                  <c:v>2010</c:v>
                </c:pt>
                <c:pt idx="10" formatCode="0">
                  <c:v>2011</c:v>
                </c:pt>
                <c:pt idx="11" formatCode="0">
                  <c:v>2012</c:v>
                </c:pt>
              </c:numCache>
            </c:numRef>
          </c:cat>
          <c:val>
            <c:numRef>
              <c:f>Sheet1!$C$10:$N$10</c:f>
              <c:numCache>
                <c:formatCode>General</c:formatCode>
                <c:ptCount val="12"/>
                <c:pt idx="0">
                  <c:v>34</c:v>
                </c:pt>
                <c:pt idx="1">
                  <c:v>32</c:v>
                </c:pt>
                <c:pt idx="2">
                  <c:v>38</c:v>
                </c:pt>
                <c:pt idx="3">
                  <c:v>38</c:v>
                </c:pt>
                <c:pt idx="4">
                  <c:v>41</c:v>
                </c:pt>
                <c:pt idx="5">
                  <c:v>36</c:v>
                </c:pt>
                <c:pt idx="6">
                  <c:v>22</c:v>
                </c:pt>
                <c:pt idx="7">
                  <c:v>11</c:v>
                </c:pt>
                <c:pt idx="8">
                  <c:v>5</c:v>
                </c:pt>
                <c:pt idx="9">
                  <c:v>7</c:v>
                </c:pt>
                <c:pt idx="10" formatCode="0">
                  <c:v>9.1</c:v>
                </c:pt>
                <c:pt idx="11" formatCode="0">
                  <c:v>9</c:v>
                </c:pt>
              </c:numCache>
            </c:numRef>
          </c:val>
        </c:ser>
        <c:marker val="1"/>
        <c:axId val="49804416"/>
        <c:axId val="49805952"/>
      </c:lineChart>
      <c:catAx>
        <c:axId val="49804416"/>
        <c:scaling>
          <c:orientation val="minMax"/>
        </c:scaling>
        <c:axPos val="b"/>
        <c:numFmt formatCode="General" sourceLinked="1"/>
        <c:tickLblPos val="nextTo"/>
        <c:spPr>
          <a:ln w="3175">
            <a:solidFill>
              <a:srgbClr val="000000"/>
            </a:solidFill>
            <a:prstDash val="solid"/>
          </a:ln>
        </c:spPr>
        <c:txPr>
          <a:bodyPr rot="-2700000" vert="horz"/>
          <a:lstStyle/>
          <a:p>
            <a:pPr>
              <a:defRPr sz="800" b="0" i="0" u="none" strike="noStrike" baseline="0">
                <a:solidFill>
                  <a:srgbClr val="000000"/>
                </a:solidFill>
                <a:latin typeface="Arial"/>
                <a:ea typeface="Arial"/>
                <a:cs typeface="Arial"/>
              </a:defRPr>
            </a:pPr>
            <a:endParaRPr lang="en-US"/>
          </a:p>
        </c:txPr>
        <c:crossAx val="49805952"/>
        <c:crosses val="autoZero"/>
        <c:auto val="1"/>
        <c:lblAlgn val="ctr"/>
        <c:lblOffset val="100"/>
        <c:tickLblSkip val="1"/>
        <c:tickMarkSkip val="1"/>
      </c:catAx>
      <c:valAx>
        <c:axId val="49805952"/>
        <c:scaling>
          <c:orientation val="minMax"/>
        </c:scaling>
        <c:axPos val="l"/>
        <c:majorGridlines>
          <c:spPr>
            <a:ln w="3175">
              <a:solidFill>
                <a:srgbClr val="000000"/>
              </a:solidFill>
              <a:prstDash val="solid"/>
            </a:ln>
          </c:spPr>
        </c:majorGridlines>
        <c:title>
          <c:tx>
            <c:rich>
              <a:bodyPr rot="-5400000" vert="horz"/>
              <a:lstStyle/>
              <a:p>
                <a:pPr>
                  <a:defRPr sz="900" b="1"/>
                </a:pPr>
                <a:r>
                  <a:rPr lang="en-US" sz="900" b="1"/>
                  <a:t>Percentage</a:t>
                </a:r>
              </a:p>
            </c:rich>
          </c:tx>
        </c:title>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9804416"/>
        <c:crosses val="autoZero"/>
        <c:crossBetween val="between"/>
      </c:valAx>
      <c:spPr>
        <a:solidFill>
          <a:srgbClr val="FFFFFF"/>
        </a:solidFill>
        <a:ln w="25400">
          <a:noFill/>
        </a:ln>
      </c:spPr>
    </c:plotArea>
    <c:plotVisOnly val="1"/>
    <c:dispBlanksAs val="gap"/>
  </c:chart>
  <c:spPr>
    <a:solidFill>
      <a:srgbClr val="FFFFFF"/>
    </a:solidFill>
    <a:ln w="9525">
      <a:noFill/>
    </a:ln>
  </c:spPr>
  <c:txPr>
    <a:bodyPr/>
    <a:lstStyle/>
    <a:p>
      <a:pPr>
        <a:defRPr sz="1450" b="0"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11EF5-76D0-4FC8-BEED-85A10F45E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3839</Words>
  <Characters>21888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Chadwick</dc:creator>
  <cp:lastModifiedBy>klangdon</cp:lastModifiedBy>
  <cp:revision>2</cp:revision>
  <dcterms:created xsi:type="dcterms:W3CDTF">2014-03-13T22:50:00Z</dcterms:created>
  <dcterms:modified xsi:type="dcterms:W3CDTF">2014-03-13T22:50:00Z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A1881058</vt:lpwstr>
  </property>
  <property fmtid="{D5CDD505-2E9C-101B-9397-08002B2CF9AE}" pid="4" name="Objective-Title">
    <vt:lpwstr>Affordable housing submission - Senate inquiry 2014</vt:lpwstr>
  </property>
  <property fmtid="{D5CDD505-2E9C-101B-9397-08002B2CF9AE}" pid="5" name="Objective-Comment">
    <vt:lpwstr>
    </vt:lpwstr>
  </property>
  <property fmtid="{D5CDD505-2E9C-101B-9397-08002B2CF9AE}" pid="6" name="Objective-CreationStamp">
    <vt:filetime>2014-02-17T22:09:37Z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vt:lpwstr>
  </property>
  <property fmtid="{D5CDD505-2E9C-101B-9397-08002B2CF9AE}" pid="10" name="Objective-ModificationStamp">
    <vt:filetime>2014-03-13T05:50:57Z</vt:filetime>
  </property>
  <property fmtid="{D5CDD505-2E9C-101B-9397-08002B2CF9AE}" pid="11" name="Objective-Owner">
    <vt:lpwstr>Denise Chadwick</vt:lpwstr>
  </property>
  <property fmtid="{D5CDD505-2E9C-101B-9397-08002B2CF9AE}" pid="12" name="Objective-Path">
    <vt:lpwstr>Objective Global Folder:.Strategy and Advocacy:Social Planning and Development:Housing:Advocacy and Submissions:Housing advocacy:2014 Housing submissions:</vt:lpwstr>
  </property>
  <property fmtid="{D5CDD505-2E9C-101B-9397-08002B2CF9AE}" pid="13" name="Objective-Parent">
    <vt:lpwstr>2014 Housing submissions</vt:lpwstr>
  </property>
  <property fmtid="{D5CDD505-2E9C-101B-9397-08002B2CF9AE}" pid="14" name="Objective-State">
    <vt:lpwstr>Being Drafted</vt:lpwstr>
  </property>
  <property fmtid="{D5CDD505-2E9C-101B-9397-08002B2CF9AE}" pid="15" name="Objective-Version">
    <vt:lpwstr>0.2</vt:lpwstr>
  </property>
  <property fmtid="{D5CDD505-2E9C-101B-9397-08002B2CF9AE}" pid="16" name="Objective-VersionNumber">
    <vt:r8>2</vt:r8>
  </property>
  <property fmtid="{D5CDD505-2E9C-101B-9397-08002B2CF9AE}" pid="17" name="Objective-VersionComment">
    <vt:lpwstr>
    </vt:lpwstr>
  </property>
  <property fmtid="{D5CDD505-2E9C-101B-9397-08002B2CF9AE}" pid="18" name="Objective-FileNumber">
    <vt:lpwstr>
    </vt:lpwstr>
  </property>
  <property fmtid="{D5CDD505-2E9C-101B-9397-08002B2CF9AE}" pid="19" name="Objective-Classification">
    <vt:lpwstr>[Inherited - none]</vt:lpwstr>
  </property>
  <property fmtid="{D5CDD505-2E9C-101B-9397-08002B2CF9AE}" pid="20" name="Objective-Caveats">
    <vt:lpwstr>
    </vt:lpwstr>
  </property>
  <property fmtid="{D5CDD505-2E9C-101B-9397-08002B2CF9AE}" pid="21" name="Objective-Business Unit [system]">
    <vt:lpwstr>Social Planning and Development</vt:lpwstr>
  </property>
  <property fmtid="{D5CDD505-2E9C-101B-9397-08002B2CF9AE}" pid="22" name="Objective-Document Type [system]">
    <vt:lpwstr>
    </vt:lpwstr>
  </property>
</Properties>
</file>